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36CD9" w14:textId="77777777" w:rsidR="00DB3BFB" w:rsidRDefault="00DB3BFB" w:rsidP="00DB3BFB">
      <w:pPr>
        <w:bidi w:val="0"/>
      </w:pPr>
      <w:r>
        <w:t>Our purpose now is to give a clear outline of the major ideas in the first part of</w:t>
      </w:r>
      <w:r>
        <w:t xml:space="preserve"> </w:t>
      </w:r>
      <w:r>
        <w:t>al-</w:t>
      </w:r>
      <w:proofErr w:type="spellStart"/>
      <w:r>
        <w:t>Ishar</w:t>
      </w:r>
      <w:r>
        <w:t>a</w:t>
      </w:r>
      <w:r>
        <w:t>t</w:t>
      </w:r>
      <w:proofErr w:type="spellEnd"/>
      <w:r>
        <w:t xml:space="preserve"> </w:t>
      </w:r>
      <w:r>
        <w:t>w</w:t>
      </w:r>
      <w:r>
        <w:t>at-</w:t>
      </w:r>
      <w:proofErr w:type="spellStart"/>
      <w:r>
        <w:t>Tanbih</w:t>
      </w:r>
      <w:r>
        <w:t>a</w:t>
      </w:r>
      <w:r>
        <w:t>t</w:t>
      </w:r>
      <w:proofErr w:type="spellEnd"/>
      <w:r>
        <w:t xml:space="preserve">. No defense or refutation of any of these ideas will be given. Neither time nor space permits that. So let us attempt a brief exposition of Ibn </w:t>
      </w:r>
      <w:proofErr w:type="spellStart"/>
      <w:r>
        <w:t>SIna's</w:t>
      </w:r>
      <w:proofErr w:type="spellEnd"/>
      <w:r>
        <w:t xml:space="preserve"> views in the simplest language possible. For this purpose</w:t>
      </w:r>
      <w:r>
        <w:t>,</w:t>
      </w:r>
      <w:r>
        <w:t xml:space="preserve"> we will draw upon much material from his other works, in order to understand and pull together his logical system. </w:t>
      </w:r>
    </w:p>
    <w:p w14:paraId="276F65F8" w14:textId="19BB5C5F" w:rsidR="00DB3BFB" w:rsidRDefault="00DB3BFB" w:rsidP="00DB3BFB">
      <w:pPr>
        <w:bidi w:val="0"/>
      </w:pPr>
      <w:r>
        <w:t>We wish to mention that, even though we feel that most of the difficulties of the work have been delineated, there remain some for which we have not found solutions - these are specifically some of the sources referred to by Ibn Sina</w:t>
      </w:r>
      <w:r>
        <w:rPr>
          <w:rFonts w:cs="Arial"/>
          <w:rtl/>
        </w:rPr>
        <w:t>.</w:t>
      </w:r>
    </w:p>
    <w:p w14:paraId="78D48156" w14:textId="15BE2E2E" w:rsidR="00DB3BFB" w:rsidRDefault="00DB3BFB" w:rsidP="00DB3BFB">
      <w:pPr>
        <w:bidi w:val="0"/>
      </w:pPr>
      <w:r>
        <w:t xml:space="preserve">1. CONCEPTION AND ASSENT Ibn Sina emphasizes that knowledge is of two types: </w:t>
      </w:r>
      <w:proofErr w:type="spellStart"/>
      <w:r>
        <w:t>tasawwur</w:t>
      </w:r>
      <w:proofErr w:type="spellEnd"/>
      <w:r>
        <w:t xml:space="preserve"> (conception, picturing, form-grasping, imaging) and </w:t>
      </w:r>
      <w:proofErr w:type="spellStart"/>
      <w:r>
        <w:t>tasd</w:t>
      </w:r>
      <w:r>
        <w:t>i</w:t>
      </w:r>
      <w:r>
        <w:t>q</w:t>
      </w:r>
      <w:proofErr w:type="spellEnd"/>
      <w:r>
        <w:t xml:space="preserve"> (declarative phrase</w:t>
      </w:r>
      <w:r>
        <w:t>,</w:t>
      </w:r>
      <w:r>
        <w:rPr>
          <w:vertAlign w:val="superscript"/>
        </w:rPr>
        <w:t>18</w:t>
      </w:r>
      <w:r>
        <w:t xml:space="preserve"> </w:t>
      </w:r>
      <w:r>
        <w:t>i.e., true or false; a relation in the mind, of correspondence between the concept and the thing for which the concept stands,19 i.e., truth;20 assent that the relation of correspondence between the concept and the nature it represents is true21 - it is in this last sense that we will be using the term as Ibn Sina seems to be doing for the most part).</w:t>
      </w:r>
    </w:p>
    <w:p w14:paraId="7863A7C1" w14:textId="222797B1" w:rsidR="00DB3BFB" w:rsidRDefault="00DB3BFB" w:rsidP="00DB3BFB">
      <w:pPr>
        <w:bidi w:val="0"/>
      </w:pPr>
    </w:p>
    <w:p w14:paraId="12DF25A0" w14:textId="789B5951" w:rsidR="00DB3BFB" w:rsidRDefault="00DB3BFB" w:rsidP="00DB3BFB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ترجمه متن فوق:</w:t>
      </w:r>
    </w:p>
    <w:p w14:paraId="3C4CA3AC" w14:textId="6F405A8F" w:rsidR="00DB3BFB" w:rsidRDefault="00DB3BFB" w:rsidP="00DB3BFB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حال، هدف ما، ارائه خلاصه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ای صریح و شفاف از عقاید اصلی در بخش اول کتاب الاشارات و التنبیهات است. هیچ دفاعیه یا رد و تکذیبی درباره این عقاید، ارائه نخواهد شد. نه زمان و نه فضا و مکان اجازه چنین کاری را نمی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دهند. پس بگذارید به شرح و تفسیری خلاصه از دیدگاه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ابن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سینا به ساده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ترن زبان ممکن بپردازیم. برای این هدف، بیشتر، از اطلاعات و مطالب به دست آمده از آثار دیگر ابن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سینا استفاده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کنیم تا سیستم منطقی او را درک و گردآوری نماییم. </w:t>
      </w:r>
    </w:p>
    <w:p w14:paraId="632FD586" w14:textId="28D42FF4" w:rsidR="00DB3BFB" w:rsidRDefault="00DB3BFB" w:rsidP="00DB3BFB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ما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خواهیم متذکر شویم که، با وجود اینکه احساس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کنیم اکثر مشکلات و دشواری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های این کتاب، مشخص شده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اند، برخی از آنها باقی </w:t>
      </w:r>
      <w:r>
        <w:rPr>
          <w:rFonts w:cs="B Nazanin" w:hint="cs"/>
          <w:sz w:val="28"/>
          <w:szCs w:val="28"/>
          <w:rtl/>
        </w:rPr>
        <w:t>مانده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اند</w:t>
      </w:r>
      <w:r>
        <w:rPr>
          <w:rFonts w:cs="B Nazanin" w:hint="cs"/>
          <w:sz w:val="28"/>
          <w:szCs w:val="28"/>
          <w:rtl/>
        </w:rPr>
        <w:t xml:space="preserve"> که راه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حلی برای آنها نیافته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ایم- اینها، به خصوص برخی از منابعی هستند که ابن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 xml:space="preserve">سینا به آنها اشاره نموده است. </w:t>
      </w:r>
    </w:p>
    <w:p w14:paraId="77AFF6AA" w14:textId="77777777" w:rsidR="00DB3BFB" w:rsidRDefault="00DB3BFB" w:rsidP="00DB3BFB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1. بینش و پذیرش</w:t>
      </w:r>
    </w:p>
    <w:p w14:paraId="67505561" w14:textId="77777777" w:rsidR="00DB3BFB" w:rsidRDefault="00DB3BFB" w:rsidP="00DB3BFB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ابن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سینا تأکید دارد که دانش، دو نوع است: تصور (بینش، تجسم، درک و دریافت شکل و نوع، نقش و انگاره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سازی) و تصدیق (عبارت بیانی و توضیحی</w:t>
      </w:r>
      <w:r>
        <w:rPr>
          <w:rStyle w:val="FootnoteReference"/>
          <w:rFonts w:cs="B Nazanin"/>
          <w:sz w:val="28"/>
          <w:szCs w:val="28"/>
          <w:rtl/>
        </w:rPr>
        <w:footnoteReference w:id="1"/>
      </w:r>
      <w:r>
        <w:rPr>
          <w:rFonts w:cs="B Nazanin" w:hint="cs"/>
          <w:sz w:val="28"/>
          <w:szCs w:val="28"/>
          <w:rtl/>
        </w:rPr>
        <w:t xml:space="preserve"> یعنی صحیح یا غلط؛ رابطه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ای در ذهن، از ارتباط بین مفهوم و چیزی که مفهوم برای آن آورده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شود</w:t>
      </w:r>
      <w:r>
        <w:rPr>
          <w:rStyle w:val="FootnoteReference"/>
          <w:rFonts w:cs="B Nazanin"/>
          <w:sz w:val="28"/>
          <w:szCs w:val="28"/>
          <w:rtl/>
        </w:rPr>
        <w:footnoteReference w:id="2"/>
      </w:r>
      <w:r>
        <w:rPr>
          <w:rFonts w:cs="B Nazanin" w:hint="cs"/>
          <w:sz w:val="28"/>
          <w:szCs w:val="28"/>
          <w:rtl/>
        </w:rPr>
        <w:t>، یعنی حقیقت</w:t>
      </w:r>
      <w:r>
        <w:rPr>
          <w:rStyle w:val="FootnoteReference"/>
          <w:rFonts w:cs="B Nazanin"/>
          <w:sz w:val="28"/>
          <w:szCs w:val="28"/>
          <w:rtl/>
        </w:rPr>
        <w:footnoteReference w:id="3"/>
      </w:r>
      <w:r>
        <w:rPr>
          <w:rFonts w:cs="B Nazanin" w:hint="cs"/>
          <w:sz w:val="28"/>
          <w:szCs w:val="28"/>
          <w:rtl/>
        </w:rPr>
        <w:t xml:space="preserve">؛ پذیرشی که رابطه ارتباط بین مفهوم و ذات است </w:t>
      </w:r>
      <w:r>
        <w:rPr>
          <w:rFonts w:cs="B Nazanin" w:hint="cs"/>
          <w:sz w:val="28"/>
          <w:szCs w:val="28"/>
          <w:rtl/>
        </w:rPr>
        <w:lastRenderedPageBreak/>
        <w:t>نشان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دهد که صحیح و درست است</w:t>
      </w:r>
      <w:r>
        <w:rPr>
          <w:rStyle w:val="FootnoteReference"/>
          <w:rFonts w:cs="B Nazanin"/>
          <w:sz w:val="28"/>
          <w:szCs w:val="28"/>
          <w:rtl/>
        </w:rPr>
        <w:footnoteReference w:id="4"/>
      </w:r>
      <w:r>
        <w:rPr>
          <w:rFonts w:cs="B Nazanin" w:hint="cs"/>
          <w:sz w:val="28"/>
          <w:szCs w:val="28"/>
          <w:rtl/>
        </w:rPr>
        <w:t>- در آخرین مفهومی که ما از واژه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ای استفاده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کنیم که ابن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سینا برای اکثر بخش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ها، به کار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برد.)</w:t>
      </w:r>
    </w:p>
    <w:p w14:paraId="63F32F73" w14:textId="77777777" w:rsidR="00DB3BFB" w:rsidRPr="00DB3BFB" w:rsidRDefault="00DB3BFB" w:rsidP="00DB3BFB">
      <w:pPr>
        <w:rPr>
          <w:rFonts w:hint="cs"/>
          <w:rtl/>
        </w:rPr>
      </w:pPr>
    </w:p>
    <w:sectPr w:rsidR="00DB3BFB" w:rsidRPr="00DB3BFB" w:rsidSect="00AF1FC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1FB5" w14:textId="77777777" w:rsidR="00EA2074" w:rsidRDefault="00EA2074" w:rsidP="00DB3BFB">
      <w:pPr>
        <w:spacing w:after="0" w:line="240" w:lineRule="auto"/>
      </w:pPr>
      <w:r>
        <w:separator/>
      </w:r>
    </w:p>
  </w:endnote>
  <w:endnote w:type="continuationSeparator" w:id="0">
    <w:p w14:paraId="2B32E98C" w14:textId="77777777" w:rsidR="00EA2074" w:rsidRDefault="00EA2074" w:rsidP="00DB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61A83" w14:textId="77777777" w:rsidR="00EA2074" w:rsidRDefault="00EA2074" w:rsidP="00DB3BFB">
      <w:pPr>
        <w:spacing w:after="0" w:line="240" w:lineRule="auto"/>
      </w:pPr>
      <w:r>
        <w:separator/>
      </w:r>
    </w:p>
  </w:footnote>
  <w:footnote w:type="continuationSeparator" w:id="0">
    <w:p w14:paraId="38DD84A3" w14:textId="77777777" w:rsidR="00EA2074" w:rsidRDefault="00EA2074" w:rsidP="00DB3BFB">
      <w:pPr>
        <w:spacing w:after="0" w:line="240" w:lineRule="auto"/>
      </w:pPr>
      <w:r>
        <w:continuationSeparator/>
      </w:r>
    </w:p>
  </w:footnote>
  <w:footnote w:id="1">
    <w:p w14:paraId="0FE862F3" w14:textId="77777777" w:rsidR="00DB3BFB" w:rsidRDefault="00DB3BFB" w:rsidP="00DB3BF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. القصیده، المزدویجا در کتاب انسان، ص 17</w:t>
      </w:r>
    </w:p>
  </w:footnote>
  <w:footnote w:id="2">
    <w:p w14:paraId="6128CFA7" w14:textId="77777777" w:rsidR="00DB3BFB" w:rsidRDefault="00DB3BFB" w:rsidP="00DB3BF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proofErr w:type="spellStart"/>
      <w:proofErr w:type="gramStart"/>
      <w:r w:rsidRPr="005C5518">
        <w:rPr>
          <w:lang w:bidi="fa-IR"/>
        </w:rPr>
        <w:t>Sh.Mad</w:t>
      </w:r>
      <w:proofErr w:type="spellEnd"/>
      <w:proofErr w:type="gramEnd"/>
      <w:r>
        <w:rPr>
          <w:rFonts w:hint="cs"/>
          <w:rtl/>
          <w:lang w:bidi="fa-IR"/>
        </w:rPr>
        <w:t>، ص 17</w:t>
      </w:r>
    </w:p>
  </w:footnote>
  <w:footnote w:id="3">
    <w:p w14:paraId="75B32F87" w14:textId="77777777" w:rsidR="00DB3BFB" w:rsidRDefault="00DB3BFB" w:rsidP="00DB3BF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>
        <w:rPr>
          <w:rFonts w:hint="cs"/>
          <w:rtl/>
          <w:lang w:bidi="fa-IR"/>
        </w:rPr>
        <w:t xml:space="preserve">این جمله در </w:t>
      </w:r>
      <w:r w:rsidRPr="00791C8B">
        <w:rPr>
          <w:lang w:bidi="fa-IR"/>
        </w:rPr>
        <w:t>Sh. Mad</w:t>
      </w:r>
      <w:r w:rsidRPr="00791C8B">
        <w:rPr>
          <w:rFonts w:cs="Arial"/>
          <w:rtl/>
          <w:lang w:bidi="fa-IR"/>
        </w:rPr>
        <w:t>.</w:t>
      </w:r>
      <w:r>
        <w:rPr>
          <w:rFonts w:cs="Arial" w:hint="cs"/>
          <w:rtl/>
          <w:lang w:bidi="fa-IR"/>
        </w:rPr>
        <w:t>، گمراه</w:t>
      </w:r>
      <w:r>
        <w:rPr>
          <w:rFonts w:cs="Arial"/>
          <w:rtl/>
          <w:lang w:bidi="fa-IR"/>
        </w:rPr>
        <w:softHyphen/>
      </w:r>
      <w:r>
        <w:rPr>
          <w:rFonts w:cs="Arial" w:hint="cs"/>
          <w:rtl/>
          <w:lang w:bidi="fa-IR"/>
        </w:rPr>
        <w:t>کننده است. در کتاب انسان (ص 60)، واضح است که این رابطه ارتباط، صدیقات (صحیح و درست) نامیده می</w:t>
      </w:r>
      <w:r>
        <w:rPr>
          <w:rFonts w:cs="Arial"/>
          <w:rtl/>
          <w:lang w:bidi="fa-IR"/>
        </w:rPr>
        <w:softHyphen/>
      </w:r>
      <w:r>
        <w:rPr>
          <w:rFonts w:cs="Arial" w:hint="cs"/>
          <w:rtl/>
          <w:lang w:bidi="fa-IR"/>
        </w:rPr>
        <w:t>شود، درحالیکه گفته می</w:t>
      </w:r>
      <w:r>
        <w:rPr>
          <w:rFonts w:cs="Arial"/>
          <w:rtl/>
          <w:lang w:bidi="fa-IR"/>
        </w:rPr>
        <w:softHyphen/>
      </w:r>
      <w:r>
        <w:rPr>
          <w:rFonts w:cs="Arial" w:hint="cs"/>
          <w:rtl/>
          <w:lang w:bidi="fa-IR"/>
        </w:rPr>
        <w:t>شود، «تصدیق»، باور و اعتقادی است که این رابطه صحیح است (در همان مرجع).</w:t>
      </w:r>
    </w:p>
  </w:footnote>
  <w:footnote w:id="4">
    <w:p w14:paraId="76334387" w14:textId="77777777" w:rsidR="00DB3BFB" w:rsidRDefault="00DB3BFB" w:rsidP="00DB3BF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. </w:t>
      </w:r>
      <w:r>
        <w:rPr>
          <w:rFonts w:hint="cs"/>
          <w:rtl/>
          <w:lang w:bidi="fa-IR"/>
        </w:rPr>
        <w:t>در همان مرجع. این متمایز اط تحریف، رد یا تکذیب ارتباط چنین رابطه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ای است (تکذیب). هر پذیرشی، یک تقبل و تأیید ادعا است؛ اما چیزی که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پذیرد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تواند یک تأیید یا یک انکار و نقض باشد. «من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پذیرم که الف، ب است» یا «می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پذیرم که الف، ب نیست.»، اینها هر دو پذیرش هستند. علاوه بر این، براساس ابن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سینا،پذیرش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توانند یا صحیح باشند یا غلط (بعدا، در این مقدمه در بحث ما درباره مقدمات که شامل پذیرش هستند،</w:t>
      </w:r>
      <w:r w:rsidRPr="00DF38E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معلوم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شود). اما این، البته، سؤالی درباره این موضوع را ایجاد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کند که آیا پذیرش، ارزش نامگذاری شدن به نوعی دانش را دارد یا خیر، همانند چیزی که، اندیشمند و فیلسوف ما فکر می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کند.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FB"/>
    <w:rsid w:val="00AF1FC7"/>
    <w:rsid w:val="00DB3BFB"/>
    <w:rsid w:val="00EA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9B5A4F6"/>
  <w15:chartTrackingRefBased/>
  <w15:docId w15:val="{396D429C-8E4C-4F66-B761-4390583B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B3BFB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BFB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DB3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Maria_Hasan</dc:creator>
  <cp:keywords/>
  <dc:description/>
  <cp:lastModifiedBy>Maria_Hasan</cp:lastModifiedBy>
  <cp:revision>1</cp:revision>
  <dcterms:created xsi:type="dcterms:W3CDTF">2026-05-17T01:56:00Z</dcterms:created>
  <dcterms:modified xsi:type="dcterms:W3CDTF">2026-05-17T02:06:00Z</dcterms:modified>
</cp:coreProperties>
</file>