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34" w:rsidRDefault="00415934" w:rsidP="00415934">
      <w:pPr>
        <w:spacing w:after="0" w:line="240" w:lineRule="auto"/>
        <w:jc w:val="center"/>
        <w:rPr>
          <w:rFonts w:asciiTheme="majorBidi" w:hAnsiTheme="majorBidi" w:cstheme="majorBidi"/>
          <w:sz w:val="28"/>
          <w:szCs w:val="28"/>
        </w:rPr>
      </w:pPr>
      <w:bookmarkStart w:id="0" w:name="OLE_LINK1"/>
      <w:bookmarkStart w:id="1" w:name="OLE_LINK2"/>
      <w:r w:rsidRPr="007D2394">
        <w:rPr>
          <w:rFonts w:asciiTheme="majorBidi" w:hAnsiTheme="majorBidi" w:cstheme="majorBidi"/>
          <w:sz w:val="28"/>
          <w:szCs w:val="28"/>
        </w:rPr>
        <w:t>In the name of the Almighty</w:t>
      </w:r>
    </w:p>
    <w:p w:rsidR="00415934" w:rsidRPr="007D2394" w:rsidRDefault="00415934" w:rsidP="00415934">
      <w:pPr>
        <w:spacing w:after="0" w:line="240" w:lineRule="auto"/>
        <w:jc w:val="center"/>
        <w:rPr>
          <w:rFonts w:asciiTheme="majorBidi" w:hAnsiTheme="majorBidi" w:cstheme="majorBidi"/>
          <w:sz w:val="28"/>
          <w:szCs w:val="28"/>
        </w:rPr>
      </w:pPr>
    </w:p>
    <w:p w:rsidR="00415934" w:rsidRPr="007D2394" w:rsidRDefault="00415934" w:rsidP="001F7F10">
      <w:pPr>
        <w:spacing w:after="0" w:line="240" w:lineRule="auto"/>
        <w:rPr>
          <w:rFonts w:asciiTheme="majorBidi" w:hAnsiTheme="majorBidi" w:cstheme="majorBidi"/>
          <w:i/>
          <w:iCs/>
          <w:sz w:val="24"/>
          <w:szCs w:val="24"/>
        </w:rPr>
      </w:pPr>
      <w:r w:rsidRPr="007D2394">
        <w:rPr>
          <w:rFonts w:asciiTheme="majorBidi" w:hAnsiTheme="majorBidi" w:cstheme="majorBidi"/>
          <w:i/>
          <w:iCs/>
          <w:sz w:val="24"/>
          <w:szCs w:val="24"/>
        </w:rPr>
        <w:t xml:space="preserve">The report of the independent accountant and the legal controller to the general assembly of the stockholders of the </w:t>
      </w:r>
      <w:r w:rsidR="001F7F10">
        <w:rPr>
          <w:rFonts w:asciiTheme="majorBidi" w:hAnsiTheme="majorBidi" w:cstheme="majorBidi"/>
          <w:i/>
          <w:iCs/>
          <w:sz w:val="24"/>
          <w:szCs w:val="24"/>
        </w:rPr>
        <w:t>……..</w:t>
      </w:r>
      <w:r w:rsidRPr="007D2394">
        <w:rPr>
          <w:rFonts w:asciiTheme="majorBidi" w:hAnsiTheme="majorBidi" w:cstheme="majorBidi"/>
          <w:i/>
          <w:iCs/>
          <w:sz w:val="24"/>
          <w:szCs w:val="24"/>
        </w:rPr>
        <w:t xml:space="preserve"> Bank (LLP) </w:t>
      </w:r>
    </w:p>
    <w:p w:rsidR="00415934" w:rsidRDefault="00415934" w:rsidP="00415934">
      <w:pPr>
        <w:spacing w:after="0" w:line="240" w:lineRule="auto"/>
        <w:rPr>
          <w:rFonts w:asciiTheme="majorBidi" w:hAnsiTheme="majorBidi" w:cstheme="majorBidi"/>
          <w:b/>
          <w:bCs/>
          <w:szCs w:val="24"/>
        </w:rPr>
      </w:pPr>
      <w:r w:rsidRPr="007D2394">
        <w:rPr>
          <w:rFonts w:asciiTheme="majorBidi" w:hAnsiTheme="majorBidi" w:cstheme="majorBidi"/>
          <w:bCs/>
          <w:sz w:val="24"/>
          <w:szCs w:val="24"/>
        </w:rPr>
        <w:t>Financial statements related report</w:t>
      </w:r>
    </w:p>
    <w:p w:rsidR="00415934" w:rsidRPr="007D2394" w:rsidRDefault="00415934" w:rsidP="00415934">
      <w:pPr>
        <w:spacing w:after="0" w:line="240" w:lineRule="auto"/>
        <w:rPr>
          <w:rFonts w:asciiTheme="majorBidi" w:hAnsiTheme="majorBidi" w:cstheme="majorBidi"/>
          <w:b/>
          <w:bCs/>
          <w:sz w:val="24"/>
          <w:szCs w:val="24"/>
        </w:rPr>
      </w:pPr>
    </w:p>
    <w:p w:rsidR="00415934" w:rsidRPr="00415934" w:rsidRDefault="00415934" w:rsidP="00415934">
      <w:pPr>
        <w:spacing w:after="0" w:line="240" w:lineRule="auto"/>
        <w:rPr>
          <w:rFonts w:asciiTheme="majorBidi" w:hAnsiTheme="majorBidi" w:cstheme="majorBidi"/>
          <w:b/>
          <w:bCs/>
          <w:szCs w:val="24"/>
        </w:rPr>
      </w:pPr>
      <w:r w:rsidRPr="00415934">
        <w:rPr>
          <w:rFonts w:asciiTheme="majorBidi" w:hAnsiTheme="majorBidi" w:cstheme="majorBidi"/>
          <w:b/>
          <w:bCs/>
          <w:sz w:val="24"/>
          <w:szCs w:val="24"/>
        </w:rPr>
        <w:t>Introduction</w:t>
      </w:r>
    </w:p>
    <w:p w:rsidR="00415934" w:rsidRPr="007D2394" w:rsidRDefault="00415934" w:rsidP="00415934">
      <w:pPr>
        <w:spacing w:after="0" w:line="240" w:lineRule="auto"/>
        <w:rPr>
          <w:rFonts w:asciiTheme="majorBidi" w:hAnsiTheme="majorBidi" w:cstheme="majorBidi"/>
          <w:sz w:val="24"/>
          <w:szCs w:val="24"/>
        </w:rPr>
      </w:pPr>
    </w:p>
    <w:p w:rsidR="00415934" w:rsidRDefault="00415934" w:rsidP="00B263AC">
      <w:pPr>
        <w:pStyle w:val="ListParagraph"/>
        <w:numPr>
          <w:ilvl w:val="0"/>
          <w:numId w:val="9"/>
        </w:numPr>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 xml:space="preserve">The combined financial statements of the group and the </w:t>
      </w:r>
      <w:r w:rsidR="00B263AC">
        <w:rPr>
          <w:rFonts w:asciiTheme="majorBidi" w:hAnsiTheme="majorBidi" w:cstheme="majorBidi" w:hint="cs"/>
          <w:bCs/>
          <w:sz w:val="24"/>
          <w:szCs w:val="24"/>
          <w:rtl/>
        </w:rPr>
        <w:t>...............</w:t>
      </w:r>
      <w:r w:rsidRPr="007D2394">
        <w:rPr>
          <w:rFonts w:asciiTheme="majorBidi" w:hAnsiTheme="majorBidi" w:cstheme="majorBidi"/>
          <w:bCs/>
          <w:sz w:val="24"/>
          <w:szCs w:val="24"/>
        </w:rPr>
        <w:t xml:space="preserve"> Bank (LLP) includes balance sheets dated </w:t>
      </w:r>
      <w:r w:rsidRPr="007D2394">
        <w:rPr>
          <w:rFonts w:asciiTheme="majorBidi" w:hAnsiTheme="majorBidi" w:cstheme="majorBidi"/>
          <w:bCs/>
          <w:szCs w:val="24"/>
        </w:rPr>
        <w:t>12.20.2016</w:t>
      </w:r>
      <w:r w:rsidRPr="007D2394">
        <w:rPr>
          <w:rFonts w:asciiTheme="majorBidi" w:hAnsiTheme="majorBidi" w:cstheme="majorBidi"/>
          <w:bCs/>
          <w:sz w:val="24"/>
          <w:szCs w:val="24"/>
        </w:rPr>
        <w:t>, the income and loss statements, cash flow, return of the investment deposits, and the changes in the rights of the shareholders for the aforementioned date and accounting work has been done on the explanatory notes 1 to 62 by this accounting firm.</w:t>
      </w:r>
    </w:p>
    <w:p w:rsidR="00415934" w:rsidRPr="007D2394" w:rsidRDefault="00415934" w:rsidP="00415934">
      <w:pPr>
        <w:pStyle w:val="ListParagraph"/>
        <w:spacing w:after="0" w:line="240" w:lineRule="auto"/>
        <w:ind w:left="0"/>
        <w:jc w:val="both"/>
        <w:rPr>
          <w:rFonts w:asciiTheme="majorBidi" w:hAnsiTheme="majorBidi" w:cstheme="majorBidi"/>
          <w:b/>
          <w:bCs/>
          <w:sz w:val="24"/>
          <w:szCs w:val="24"/>
        </w:rPr>
      </w:pPr>
    </w:p>
    <w:p w:rsidR="00415934" w:rsidRPr="00415934" w:rsidRDefault="00415934" w:rsidP="00415934">
      <w:pPr>
        <w:spacing w:after="0" w:line="240" w:lineRule="auto"/>
        <w:rPr>
          <w:rFonts w:asciiTheme="majorBidi" w:hAnsiTheme="majorBidi" w:cstheme="majorBidi"/>
          <w:b/>
          <w:bCs/>
          <w:szCs w:val="24"/>
        </w:rPr>
      </w:pPr>
      <w:r w:rsidRPr="00415934">
        <w:rPr>
          <w:rFonts w:asciiTheme="majorBidi" w:hAnsiTheme="majorBidi" w:cstheme="majorBidi"/>
          <w:b/>
          <w:bCs/>
          <w:sz w:val="24"/>
          <w:szCs w:val="24"/>
        </w:rPr>
        <w:t>The responsibility of the board of directors regarding the financial statements</w:t>
      </w:r>
    </w:p>
    <w:p w:rsidR="00415934" w:rsidRPr="007D2394" w:rsidRDefault="00415934" w:rsidP="00415934">
      <w:pPr>
        <w:spacing w:after="0" w:line="240" w:lineRule="auto"/>
        <w:rPr>
          <w:rFonts w:asciiTheme="majorBidi" w:hAnsiTheme="majorBidi" w:cstheme="majorBidi"/>
          <w:sz w:val="14"/>
          <w:szCs w:val="14"/>
        </w:rPr>
      </w:pPr>
    </w:p>
    <w:p w:rsidR="00415934" w:rsidRDefault="00415934" w:rsidP="00415934">
      <w:pPr>
        <w:pStyle w:val="ListParagraph"/>
        <w:numPr>
          <w:ilvl w:val="0"/>
          <w:numId w:val="9"/>
        </w:numPr>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According to the accounting standards and the banking regulations, board of directors of the bank is responsible for preparing the aforementioned financial statements.  This responsibility includes design, implementation and maintaining internal control related to the financial statements in a way that these statements are free of any important misrepresentations resulting from cheating or mistakes.</w:t>
      </w:r>
    </w:p>
    <w:p w:rsidR="00415934" w:rsidRPr="007D2394" w:rsidRDefault="00415934" w:rsidP="00415934">
      <w:pPr>
        <w:pStyle w:val="ListParagraph"/>
        <w:spacing w:after="0" w:line="240" w:lineRule="auto"/>
        <w:ind w:left="0"/>
        <w:jc w:val="both"/>
        <w:rPr>
          <w:rFonts w:asciiTheme="majorBidi" w:hAnsiTheme="majorBidi" w:cstheme="majorBidi"/>
          <w:b/>
          <w:bCs/>
          <w:sz w:val="24"/>
          <w:szCs w:val="24"/>
        </w:rPr>
      </w:pPr>
    </w:p>
    <w:p w:rsidR="00415934" w:rsidRPr="00415934" w:rsidRDefault="00415934" w:rsidP="00415934">
      <w:pPr>
        <w:spacing w:after="0" w:line="240" w:lineRule="auto"/>
        <w:rPr>
          <w:rFonts w:asciiTheme="majorBidi" w:hAnsiTheme="majorBidi" w:cstheme="majorBidi"/>
          <w:b/>
          <w:bCs/>
          <w:szCs w:val="24"/>
        </w:rPr>
      </w:pPr>
      <w:r w:rsidRPr="00415934">
        <w:rPr>
          <w:rFonts w:asciiTheme="majorBidi" w:hAnsiTheme="majorBidi" w:cstheme="majorBidi"/>
          <w:b/>
          <w:bCs/>
          <w:sz w:val="24"/>
          <w:szCs w:val="24"/>
        </w:rPr>
        <w:t>The responsibility of the accountant and the legal controller</w:t>
      </w:r>
    </w:p>
    <w:p w:rsidR="00415934" w:rsidRPr="007D2394" w:rsidRDefault="00415934" w:rsidP="00415934">
      <w:pPr>
        <w:spacing w:after="0" w:line="240" w:lineRule="auto"/>
        <w:rPr>
          <w:rFonts w:asciiTheme="majorBidi" w:hAnsiTheme="majorBidi" w:cstheme="majorBidi"/>
          <w:sz w:val="20"/>
          <w:szCs w:val="20"/>
        </w:rPr>
      </w:pPr>
    </w:p>
    <w:p w:rsidR="00415934" w:rsidRPr="007D2394" w:rsidRDefault="00415934" w:rsidP="00415934">
      <w:pPr>
        <w:pStyle w:val="ListParagraph"/>
        <w:numPr>
          <w:ilvl w:val="0"/>
          <w:numId w:val="9"/>
        </w:numPr>
        <w:spacing w:after="0" w:line="240" w:lineRule="auto"/>
        <w:ind w:left="0"/>
        <w:jc w:val="both"/>
        <w:rPr>
          <w:rFonts w:asciiTheme="majorBidi" w:hAnsiTheme="majorBidi" w:cstheme="majorBidi"/>
          <w:b/>
          <w:bCs/>
          <w:sz w:val="24"/>
          <w:szCs w:val="24"/>
        </w:rPr>
      </w:pPr>
      <w:r w:rsidRPr="007D2394">
        <w:rPr>
          <w:rFonts w:asciiTheme="majorBidi" w:hAnsiTheme="majorBidi" w:cstheme="majorBidi"/>
          <w:bCs/>
          <w:sz w:val="24"/>
          <w:szCs w:val="24"/>
        </w:rPr>
        <w:t>The responsibility of this institution is providing its opinion with regard to the aforementioned financial statements according to the accounting standards.  These standards obligate this institution to adhere to the professional and ethical accounting behavior and plan and execute its work in a way to ensure lack of any important misrepresentations in the financial statements.</w:t>
      </w:r>
    </w:p>
    <w:p w:rsidR="00415934" w:rsidRDefault="00415934" w:rsidP="00415934">
      <w:pPr>
        <w:pStyle w:val="ListParagraph"/>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Accounting includes methods which are used to obtain accounting evidence on the amounts and the other information disclosed in the financial statements. Selection of the accounting methods, such as evaluating the danger of important misrepresentation resulting from cheating or making an error in the financial statements, depends on the judgment of the accountant. To assess these risks and dangers, the internal control procedures related to preparation and submission of the financial statements are reviewed so that suitable accounting methods for the existing conditions could be designed.  This is not done to issue an opinion on the effectiveness of these control mechanisms of the commercial unit.  Moreover, accounting pertains to assessment of the accounting methods and reasonability of the accounting estimates done by the board of directors and the wholesomeness of the financial statements.</w:t>
      </w:r>
    </w:p>
    <w:p w:rsidR="00415934" w:rsidRPr="007D2394" w:rsidRDefault="00415934" w:rsidP="00415934">
      <w:pPr>
        <w:pStyle w:val="ListParagraph"/>
        <w:spacing w:after="0" w:line="240" w:lineRule="auto"/>
        <w:ind w:left="0"/>
        <w:jc w:val="both"/>
        <w:rPr>
          <w:rFonts w:asciiTheme="majorBidi" w:hAnsiTheme="majorBidi" w:cstheme="majorBidi"/>
          <w:b/>
          <w:bCs/>
          <w:sz w:val="24"/>
          <w:szCs w:val="24"/>
        </w:rPr>
      </w:pPr>
    </w:p>
    <w:p w:rsidR="00415934" w:rsidRPr="00415934" w:rsidRDefault="00415934" w:rsidP="00415934">
      <w:pPr>
        <w:spacing w:after="0" w:line="240" w:lineRule="auto"/>
        <w:rPr>
          <w:rFonts w:asciiTheme="majorBidi" w:hAnsiTheme="majorBidi" w:cstheme="majorBidi"/>
          <w:b/>
          <w:bCs/>
          <w:szCs w:val="24"/>
        </w:rPr>
      </w:pPr>
      <w:r w:rsidRPr="00415934">
        <w:rPr>
          <w:rFonts w:asciiTheme="majorBidi" w:hAnsiTheme="majorBidi" w:cstheme="majorBidi"/>
          <w:b/>
          <w:bCs/>
          <w:sz w:val="24"/>
          <w:szCs w:val="24"/>
        </w:rPr>
        <w:t>The basis of conditional assessment</w:t>
      </w:r>
    </w:p>
    <w:p w:rsidR="00415934" w:rsidRPr="00415934" w:rsidRDefault="00415934" w:rsidP="00415934">
      <w:pPr>
        <w:spacing w:after="0" w:line="240" w:lineRule="auto"/>
        <w:rPr>
          <w:rFonts w:asciiTheme="majorBidi" w:hAnsiTheme="majorBidi" w:cstheme="majorBidi"/>
          <w:sz w:val="6"/>
          <w:szCs w:val="6"/>
        </w:rPr>
      </w:pPr>
    </w:p>
    <w:p w:rsidR="00415934" w:rsidRPr="00415934" w:rsidRDefault="00415934" w:rsidP="00415934">
      <w:pPr>
        <w:pStyle w:val="ListParagraph"/>
        <w:numPr>
          <w:ilvl w:val="0"/>
          <w:numId w:val="9"/>
        </w:numPr>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 xml:space="preserve">According to the explanatory notes 43, in line with the law of eliminating the production hurdles and the communicated instructions, the Central Bank of the Islamic Republic of Iran has transferred the ownership rights of the properties known as Vozara 1, Vozara 2, Hakim, and Shahrak Gharb in return for checks, shares and properties that are easier to liquidate.  </w:t>
      </w:r>
    </w:p>
    <w:p w:rsidR="00415934" w:rsidRPr="00415934" w:rsidRDefault="00415934" w:rsidP="00415934">
      <w:pPr>
        <w:pStyle w:val="ListParagraph"/>
        <w:spacing w:after="0" w:line="240" w:lineRule="auto"/>
        <w:ind w:left="0"/>
        <w:jc w:val="center"/>
        <w:rPr>
          <w:rFonts w:asciiTheme="majorBidi" w:hAnsiTheme="majorBidi" w:cstheme="majorBidi"/>
          <w:b/>
          <w:bCs/>
          <w:szCs w:val="24"/>
        </w:rPr>
      </w:pPr>
      <w:r>
        <w:rPr>
          <w:rFonts w:asciiTheme="majorBidi" w:hAnsiTheme="majorBidi" w:cstheme="majorBidi"/>
          <w:bCs/>
          <w:sz w:val="24"/>
          <w:szCs w:val="24"/>
        </w:rPr>
        <w:t>-1-</w:t>
      </w:r>
    </w:p>
    <w:p w:rsidR="00415934" w:rsidRDefault="00415934" w:rsidP="00415934">
      <w:pPr>
        <w:pStyle w:val="ListParagraph"/>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lastRenderedPageBreak/>
        <w:t>The profit originating from this action has been determined to be 9.530 billion Rials.  Regarding this, even though, according to the approvals of the board of directors, the bill of transaction, and the certified experts of the Ministry of Justice, considering the legal transfer of the ownership of the purchased shares to the bank, and receiving the major part of the money coming from the transferred properties up to the date of this report, a major portion of the risks involving the transferred properties have been transferred to the new owners.  However, considering the fact that legal transfer of the ownership of the properties known as Vozara 1, Vozara 2, Shahrak Gharb and the building called Mica Mall Kish to the bank and the buyers of the aforementioned properties, determination of the possible effects of the creation of conditions if the foreseen obligations resulting from breach of the contracts was not possible for this institution.</w:t>
      </w:r>
    </w:p>
    <w:p w:rsidR="00415934" w:rsidRPr="007D2394" w:rsidRDefault="00415934" w:rsidP="00415934">
      <w:pPr>
        <w:pStyle w:val="ListParagraph"/>
        <w:spacing w:after="0" w:line="240" w:lineRule="auto"/>
        <w:ind w:left="0"/>
        <w:jc w:val="both"/>
        <w:rPr>
          <w:rFonts w:asciiTheme="majorBidi" w:hAnsiTheme="majorBidi" w:cstheme="majorBidi"/>
          <w:b/>
          <w:bCs/>
          <w:sz w:val="24"/>
          <w:szCs w:val="24"/>
        </w:rPr>
      </w:pPr>
    </w:p>
    <w:p w:rsidR="00415934" w:rsidRDefault="00415934" w:rsidP="00415934">
      <w:pPr>
        <w:pStyle w:val="ListParagraph"/>
        <w:numPr>
          <w:ilvl w:val="0"/>
          <w:numId w:val="9"/>
        </w:numPr>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 xml:space="preserve"> Following the approval of the board of directors on 11.21.2016, 10% of the shares of Iran Investment Company, according to the contract entered into with the Masir-e-Abrisham-e-Novin company, based on the report of the share evaluation expert (Taamin-e-Sarmayeh Amin company), has been sold for the sum of 2.300 billion Rials.  In relation to this, the sum of 580 billion Rials of profit has been identified.  With regard to this case, part of the price of the transaction has been received and the ownership of the shares has officially and legally been transferred to the buyer in 07.2017.  Since the process of legal transfer of the ownership of the shares and payoff of the price of the transaction has not been realized at the time the balance sheets are prepared, determination of the profit originating from the sale of the shares does not benefit from necessary compatibility with the accounting standards.</w:t>
      </w:r>
    </w:p>
    <w:p w:rsidR="00415934" w:rsidRPr="007D2394" w:rsidRDefault="00415934" w:rsidP="00415934">
      <w:pPr>
        <w:pStyle w:val="ListParagraph"/>
        <w:spacing w:after="0" w:line="240" w:lineRule="auto"/>
        <w:ind w:left="0"/>
        <w:jc w:val="both"/>
        <w:rPr>
          <w:rFonts w:asciiTheme="majorBidi" w:hAnsiTheme="majorBidi" w:cstheme="majorBidi"/>
          <w:b/>
          <w:bCs/>
          <w:sz w:val="24"/>
          <w:szCs w:val="24"/>
        </w:rPr>
      </w:pPr>
    </w:p>
    <w:p w:rsidR="00415934" w:rsidRDefault="00415934" w:rsidP="001F7F10">
      <w:pPr>
        <w:pStyle w:val="ListParagraph"/>
        <w:numPr>
          <w:ilvl w:val="0"/>
          <w:numId w:val="9"/>
        </w:numPr>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The remaining amount of the due from the other accounts and received documents (explanatory notes 15) include the sum of 494 billion Rials of protested receivable documents, past due and unpaid annual commercial and non-commercial receivables of the secondary economic company of Negin-</w:t>
      </w:r>
      <w:r w:rsidR="001F7F10">
        <w:rPr>
          <w:rFonts w:asciiTheme="majorBidi" w:hAnsiTheme="majorBidi" w:cstheme="majorBidi"/>
          <w:bCs/>
          <w:sz w:val="24"/>
          <w:szCs w:val="24"/>
        </w:rPr>
        <w:t xml:space="preserve"> ………… </w:t>
      </w:r>
      <w:bookmarkStart w:id="2" w:name="_GoBack"/>
      <w:bookmarkEnd w:id="2"/>
      <w:r w:rsidRPr="007D2394">
        <w:rPr>
          <w:rFonts w:asciiTheme="majorBidi" w:hAnsiTheme="majorBidi" w:cstheme="majorBidi"/>
          <w:bCs/>
          <w:sz w:val="24"/>
          <w:szCs w:val="24"/>
        </w:rPr>
        <w:t xml:space="preserve">-Iranian.  The steps taken by the company has not resulted in collecting these receivables. According to the abovementioned facts, no information has been obtained regarding the amount of the possible needed adjustments to the accounts related to establishing the reserve for the accounts that their collectability is suspicious and their presence is necessary in the standards of accounting. </w:t>
      </w:r>
    </w:p>
    <w:p w:rsidR="00415934" w:rsidRPr="007D2394" w:rsidRDefault="00415934" w:rsidP="00415934">
      <w:pPr>
        <w:pStyle w:val="ListParagraph"/>
        <w:spacing w:after="0" w:line="240" w:lineRule="auto"/>
        <w:ind w:left="0"/>
        <w:jc w:val="both"/>
        <w:rPr>
          <w:rFonts w:asciiTheme="majorBidi" w:hAnsiTheme="majorBidi" w:cstheme="majorBidi"/>
          <w:b/>
          <w:bCs/>
          <w:sz w:val="24"/>
          <w:szCs w:val="24"/>
        </w:rPr>
      </w:pPr>
      <w:r w:rsidRPr="007D2394">
        <w:rPr>
          <w:rFonts w:asciiTheme="majorBidi" w:hAnsiTheme="majorBidi" w:cstheme="majorBidi"/>
          <w:bCs/>
          <w:sz w:val="24"/>
          <w:szCs w:val="24"/>
        </w:rPr>
        <w:t xml:space="preserve"> </w:t>
      </w:r>
    </w:p>
    <w:p w:rsidR="00415934" w:rsidRDefault="00415934" w:rsidP="00415934">
      <w:pPr>
        <w:pStyle w:val="ListParagraph"/>
        <w:numPr>
          <w:ilvl w:val="0"/>
          <w:numId w:val="9"/>
        </w:numPr>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According to the contents of the explanatory notes 14 and 15, a major portion of account receivables of the people, secondary and the affiliated companies, include the past due receivable documents, total up to 10.318 billion Rials, which is related to the prices of the properties that their ownership has been transferred to others and the amounts paid on the accounts in previous years along with the calculated interest.  With regard to this, even though a major portion of these receivables were of capital raising and given loans nature, beside the fact that no information has been obtainable on the correctness of the classification of the aforementioned receivables and the fact that not adequate, suitable and effective guarantees to ensure the collection of a major portion of theses receivables has been obtained, and lack of achieving a definite result related to collection of the principle and the interest of these receivables, no information was obtainable about the amount of possible adjustments to the accounts in relation to establishment of the necessary reserve for the receivables with suspicious nature surpassing</w:t>
      </w:r>
    </w:p>
    <w:p w:rsidR="00415934" w:rsidRPr="00415934" w:rsidRDefault="00415934" w:rsidP="00415934">
      <w:pPr>
        <w:pStyle w:val="ListParagraph"/>
        <w:spacing w:after="0" w:line="240" w:lineRule="auto"/>
        <w:ind w:left="0"/>
        <w:jc w:val="center"/>
        <w:rPr>
          <w:rFonts w:asciiTheme="majorBidi" w:hAnsiTheme="majorBidi" w:cstheme="majorBidi"/>
          <w:szCs w:val="24"/>
        </w:rPr>
      </w:pPr>
      <w:r w:rsidRPr="00415934">
        <w:rPr>
          <w:rFonts w:asciiTheme="majorBidi" w:hAnsiTheme="majorBidi" w:cstheme="majorBidi"/>
          <w:szCs w:val="24"/>
        </w:rPr>
        <w:t>-2-</w:t>
      </w:r>
    </w:p>
    <w:p w:rsidR="00415934" w:rsidRPr="00415934" w:rsidRDefault="00415934" w:rsidP="00415934">
      <w:pPr>
        <w:pStyle w:val="ListParagraph"/>
        <w:spacing w:after="0" w:line="240" w:lineRule="auto"/>
        <w:ind w:left="0"/>
        <w:jc w:val="both"/>
        <w:rPr>
          <w:rFonts w:asciiTheme="majorBidi" w:hAnsiTheme="majorBidi" w:cstheme="majorBidi"/>
          <w:b/>
          <w:bCs/>
          <w:szCs w:val="24"/>
        </w:rPr>
      </w:pPr>
      <w:r w:rsidRPr="00415934">
        <w:rPr>
          <w:rFonts w:asciiTheme="majorBidi" w:hAnsiTheme="majorBidi" w:cstheme="majorBidi"/>
          <w:bCs/>
          <w:sz w:val="24"/>
          <w:szCs w:val="24"/>
        </w:rPr>
        <w:lastRenderedPageBreak/>
        <w:t xml:space="preserve"> the 1.573 billion Rials of the existing reserve, which including it in adhering to the accounting standards and the regulations of the Central Bank is deemed vital in the method used to calculate the reserve of the financial credit institutions.  This state has arisen because of lack of access to the needed information and the compatibility accounts statements between the parties.  </w:t>
      </w:r>
    </w:p>
    <w:p w:rsidR="00415934" w:rsidRPr="007D2394" w:rsidRDefault="00415934" w:rsidP="00415934">
      <w:pPr>
        <w:pStyle w:val="ListParagraph"/>
        <w:spacing w:after="0" w:line="240" w:lineRule="auto"/>
        <w:ind w:left="0"/>
        <w:jc w:val="both"/>
        <w:rPr>
          <w:rFonts w:asciiTheme="majorBidi" w:hAnsiTheme="majorBidi" w:cstheme="majorBidi"/>
          <w:b/>
          <w:bCs/>
          <w:sz w:val="24"/>
          <w:szCs w:val="24"/>
        </w:rPr>
      </w:pPr>
    </w:p>
    <w:p w:rsidR="00415934" w:rsidRDefault="00415934" w:rsidP="00415934">
      <w:pPr>
        <w:pStyle w:val="ListParagraph"/>
        <w:numPr>
          <w:ilvl w:val="0"/>
          <w:numId w:val="9"/>
        </w:numPr>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In reviewing the cooperative loans given to the customers by the bank, it was observed that the difference in the calculated interest, based on the monitoring policies of the Central Bank, 21%, and the charged rate at the time of settlement of the loan (mostly 30%), equal to 9%, is received from the customers separately, and at the time of settlement of the loans is entered into the bank's account.    With respect to this, not only the difference originating from the abovementioned cases at the end of the financial year, 800 billion Rials, has been reflected under the heading of annual adjustments in promissory form and out of the bank's software system, but also the interest gained from the charged rate difference for the year ending on 12.20.2016, considering the complementary contracts entered into by the bank with the customers, is more than 342 billion Rials.  These funds should have been placed under the revenue from the given loans in adherence to the accounting standards.</w:t>
      </w:r>
    </w:p>
    <w:p w:rsidR="00415934" w:rsidRPr="00415934" w:rsidRDefault="00415934" w:rsidP="00415934">
      <w:pPr>
        <w:pStyle w:val="ListParagraph"/>
        <w:spacing w:after="0" w:line="240" w:lineRule="auto"/>
        <w:ind w:left="0"/>
        <w:jc w:val="both"/>
        <w:rPr>
          <w:rFonts w:asciiTheme="majorBidi" w:hAnsiTheme="majorBidi" w:cstheme="majorBidi"/>
          <w:b/>
          <w:bCs/>
          <w:sz w:val="14"/>
          <w:szCs w:val="14"/>
        </w:rPr>
      </w:pPr>
    </w:p>
    <w:p w:rsidR="00415934" w:rsidRDefault="00415934" w:rsidP="00415934">
      <w:pPr>
        <w:pStyle w:val="ListParagraph"/>
        <w:numPr>
          <w:ilvl w:val="0"/>
          <w:numId w:val="9"/>
        </w:numPr>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 xml:space="preserve">The attached financial statements have been prepared in adaptation with the sample financial statements in the Central Bank of the Islamic Republic of Iran's notification and submitting the statements reflecting the changes in the rights of the shareholders and the yield of the investment deposits and separating the rights of the owners of the investment deposits from the amounts owed by the shareholders and their rights in the balance sheet of the bank and submitting some explanatory notes on top of the predicted cases are included in the accounting standards.  </w:t>
      </w:r>
    </w:p>
    <w:p w:rsidR="00415934" w:rsidRPr="00415934" w:rsidRDefault="00415934" w:rsidP="00415934">
      <w:pPr>
        <w:pStyle w:val="ListParagraph"/>
        <w:spacing w:after="0" w:line="240" w:lineRule="auto"/>
        <w:ind w:left="0"/>
        <w:jc w:val="both"/>
        <w:rPr>
          <w:rFonts w:asciiTheme="majorBidi" w:hAnsiTheme="majorBidi" w:cstheme="majorBidi"/>
          <w:b/>
          <w:bCs/>
          <w:sz w:val="14"/>
          <w:szCs w:val="14"/>
        </w:rPr>
      </w:pPr>
    </w:p>
    <w:p w:rsidR="00415934" w:rsidRDefault="00415934" w:rsidP="00415934">
      <w:pPr>
        <w:pStyle w:val="ListParagraph"/>
        <w:numPr>
          <w:ilvl w:val="0"/>
          <w:numId w:val="9"/>
        </w:numPr>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 xml:space="preserve">Since up to the date of preparing this report, the detailed statement of the rescheduled loans of the customers has not been submitted to this accounting agency, no information was obtainable with regard to the adequacy and/or the need to establish a reserve for the receivable that their collection is doubtful and the correctness of the identified promissory interest with regard to the rescheduled loans which their collection is doubtful. </w:t>
      </w:r>
    </w:p>
    <w:p w:rsidR="00415934" w:rsidRPr="00415934" w:rsidRDefault="00415934" w:rsidP="00415934">
      <w:pPr>
        <w:pStyle w:val="ListParagraph"/>
        <w:spacing w:after="0" w:line="240" w:lineRule="auto"/>
        <w:ind w:left="0"/>
        <w:jc w:val="both"/>
        <w:rPr>
          <w:rFonts w:asciiTheme="majorBidi" w:hAnsiTheme="majorBidi" w:cstheme="majorBidi"/>
          <w:b/>
          <w:bCs/>
          <w:sz w:val="16"/>
          <w:szCs w:val="16"/>
        </w:rPr>
      </w:pPr>
    </w:p>
    <w:p w:rsidR="00415934" w:rsidRPr="00415934" w:rsidRDefault="00415934" w:rsidP="001F7F10">
      <w:pPr>
        <w:pStyle w:val="ListParagraph"/>
        <w:numPr>
          <w:ilvl w:val="0"/>
          <w:numId w:val="9"/>
        </w:numPr>
        <w:spacing w:after="0" w:line="240" w:lineRule="auto"/>
        <w:ind w:left="0"/>
        <w:jc w:val="both"/>
        <w:rPr>
          <w:rFonts w:asciiTheme="majorBidi" w:hAnsiTheme="majorBidi" w:cstheme="majorBidi"/>
          <w:szCs w:val="24"/>
        </w:rPr>
      </w:pPr>
      <w:r w:rsidRPr="007D2394">
        <w:rPr>
          <w:rFonts w:asciiTheme="majorBidi" w:hAnsiTheme="majorBidi" w:cstheme="majorBidi"/>
          <w:bCs/>
          <w:sz w:val="24"/>
          <w:szCs w:val="24"/>
        </w:rPr>
        <w:t xml:space="preserve">The heading of the other accounts and the received documents (explanatory notes 15) includes 253,366 million Rials of paid amounts to the Arman capital supply company, Atiyeh-e-Saba Investment Company, and the First Investment Brokerage of Agriculture Bank (current shareholder of the bank) as fees for providing services of promising to accept the Bank's shares during the increasing of capital.  This is done because these companies and firms have entered into a contract with the </w:t>
      </w:r>
      <w:r w:rsidR="001F7F10">
        <w:rPr>
          <w:rFonts w:asciiTheme="majorBidi" w:hAnsiTheme="majorBidi" w:cstheme="majorBidi"/>
          <w:bCs/>
          <w:sz w:val="24"/>
          <w:szCs w:val="24"/>
        </w:rPr>
        <w:t>…………</w:t>
      </w:r>
      <w:r w:rsidRPr="007D2394">
        <w:rPr>
          <w:rFonts w:asciiTheme="majorBidi" w:hAnsiTheme="majorBidi" w:cstheme="majorBidi"/>
          <w:bCs/>
          <w:sz w:val="24"/>
          <w:szCs w:val="24"/>
        </w:rPr>
        <w:t xml:space="preserve"> Bank.  With regard to this, in the absence of the agreements made with the major shareholders of the Bank related to the methods of repayment of these funds and not receiving the response to the asked for approvals for approving the remaining sums of these receivables, no information was obtained on the possible effects of the methods</w:t>
      </w:r>
      <w:r>
        <w:rPr>
          <w:rFonts w:asciiTheme="majorBidi" w:hAnsiTheme="majorBidi" w:cstheme="majorBidi"/>
          <w:b/>
          <w:bCs/>
          <w:szCs w:val="24"/>
        </w:rPr>
        <w:t xml:space="preserve"> </w:t>
      </w:r>
      <w:r w:rsidRPr="00415934">
        <w:rPr>
          <w:rFonts w:asciiTheme="majorBidi" w:hAnsiTheme="majorBidi" w:cstheme="majorBidi"/>
          <w:szCs w:val="24"/>
        </w:rPr>
        <w:t>of settlement of these amounts</w:t>
      </w:r>
    </w:p>
    <w:p w:rsidR="00415934" w:rsidRPr="00415934" w:rsidRDefault="00415934" w:rsidP="00415934">
      <w:pPr>
        <w:pStyle w:val="ListParagraph"/>
        <w:spacing w:after="0" w:line="240" w:lineRule="auto"/>
        <w:ind w:left="0"/>
        <w:jc w:val="both"/>
        <w:rPr>
          <w:rFonts w:asciiTheme="majorBidi" w:hAnsiTheme="majorBidi" w:cstheme="majorBidi"/>
          <w:sz w:val="12"/>
          <w:szCs w:val="12"/>
        </w:rPr>
      </w:pPr>
    </w:p>
    <w:p w:rsidR="00415934" w:rsidRDefault="00415934" w:rsidP="00415934">
      <w:pPr>
        <w:pStyle w:val="ListParagraph"/>
        <w:numPr>
          <w:ilvl w:val="0"/>
          <w:numId w:val="9"/>
        </w:numPr>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t xml:space="preserve">Since the complete software system of the Bank has not been installed, complete execution of the content of the instructions regarding the classification of the assets and calculation of the reserves of the credit unions has not been possible. </w:t>
      </w:r>
    </w:p>
    <w:p w:rsidR="00415934" w:rsidRPr="00415934" w:rsidRDefault="00415934" w:rsidP="00415934">
      <w:pPr>
        <w:pStyle w:val="ListParagraph"/>
        <w:spacing w:after="0" w:line="240" w:lineRule="auto"/>
        <w:ind w:left="0"/>
        <w:jc w:val="center"/>
        <w:rPr>
          <w:rFonts w:asciiTheme="majorBidi" w:hAnsiTheme="majorBidi" w:cstheme="majorBidi"/>
          <w:b/>
          <w:bCs/>
          <w:szCs w:val="24"/>
        </w:rPr>
      </w:pPr>
      <w:r w:rsidRPr="00415934">
        <w:rPr>
          <w:rFonts w:asciiTheme="majorBidi" w:hAnsiTheme="majorBidi" w:cstheme="majorBidi"/>
          <w:bCs/>
          <w:sz w:val="24"/>
          <w:szCs w:val="24"/>
        </w:rPr>
        <w:t>-3-</w:t>
      </w:r>
    </w:p>
    <w:p w:rsidR="00415934" w:rsidRDefault="00415934" w:rsidP="00415934">
      <w:pPr>
        <w:pStyle w:val="ListParagraph"/>
        <w:spacing w:after="0" w:line="240" w:lineRule="auto"/>
        <w:ind w:left="0"/>
        <w:jc w:val="both"/>
        <w:rPr>
          <w:rFonts w:asciiTheme="majorBidi" w:hAnsiTheme="majorBidi" w:cstheme="majorBidi"/>
          <w:b/>
          <w:bCs/>
          <w:szCs w:val="24"/>
        </w:rPr>
      </w:pPr>
      <w:r w:rsidRPr="007D2394">
        <w:rPr>
          <w:rFonts w:asciiTheme="majorBidi" w:hAnsiTheme="majorBidi" w:cstheme="majorBidi"/>
          <w:bCs/>
          <w:sz w:val="24"/>
          <w:szCs w:val="24"/>
        </w:rPr>
        <w:lastRenderedPageBreak/>
        <w:t>Therefore, determination of possible effects of lack of conformity of the reserve of the receivables with doubtful collectability and the identified compensations in the conditions where the complete software system would be in place was not possible for this agency.</w:t>
      </w:r>
    </w:p>
    <w:p w:rsidR="001F7F10" w:rsidRDefault="001F7F10" w:rsidP="00E63031">
      <w:pPr>
        <w:spacing w:after="0" w:line="240" w:lineRule="auto"/>
        <w:jc w:val="center"/>
        <w:rPr>
          <w:rFonts w:asciiTheme="majorBidi" w:hAnsiTheme="majorBidi" w:cstheme="majorBidi"/>
          <w:b/>
          <w:bCs/>
          <w:sz w:val="28"/>
          <w:szCs w:val="28"/>
          <w:u w:val="single"/>
          <w:rtl/>
        </w:rPr>
      </w:pPr>
    </w:p>
    <w:p w:rsidR="00030E57" w:rsidRPr="00DE4FD3" w:rsidRDefault="00251036" w:rsidP="00030E57">
      <w:pPr>
        <w:pStyle w:val="Title"/>
        <w:rPr>
          <w:rFonts w:asciiTheme="majorBidi" w:hAnsiTheme="majorBidi" w:cstheme="majorBidi"/>
          <w:b/>
          <w:bCs/>
          <w:sz w:val="28"/>
          <w:szCs w:val="28"/>
          <w:u w:val="single"/>
        </w:rPr>
      </w:pPr>
      <w:r>
        <w:rPr>
          <w:rFonts w:asciiTheme="majorBidi" w:hAnsiTheme="majorBidi" w:cstheme="majorBidi"/>
          <w:b/>
          <w:bCs/>
          <w:sz w:val="28"/>
          <w:szCs w:val="28"/>
          <w:u w:val="single"/>
        </w:rPr>
        <w:t xml:space="preserve">COMBINED </w:t>
      </w:r>
      <w:r w:rsidR="005142B3" w:rsidRPr="00DE4FD3">
        <w:rPr>
          <w:rFonts w:asciiTheme="majorBidi" w:hAnsiTheme="majorBidi" w:cstheme="majorBidi"/>
          <w:b/>
          <w:bCs/>
          <w:sz w:val="28"/>
          <w:szCs w:val="28"/>
          <w:u w:val="single"/>
        </w:rPr>
        <w:t xml:space="preserve"> </w:t>
      </w:r>
      <w:r w:rsidR="00030E57" w:rsidRPr="00DE4FD3">
        <w:rPr>
          <w:rFonts w:asciiTheme="majorBidi" w:hAnsiTheme="majorBidi" w:cstheme="majorBidi"/>
          <w:b/>
          <w:bCs/>
          <w:sz w:val="28"/>
          <w:szCs w:val="28"/>
          <w:u w:val="single"/>
        </w:rPr>
        <w:t xml:space="preserve">BALANCE SHEET </w:t>
      </w:r>
    </w:p>
    <w:bookmarkEnd w:id="0"/>
    <w:bookmarkEnd w:id="1"/>
    <w:p w:rsidR="000B31C0" w:rsidRPr="00DE4FD3" w:rsidRDefault="000A3037" w:rsidP="00E63031">
      <w:pPr>
        <w:pStyle w:val="Title"/>
        <w:rPr>
          <w:rFonts w:asciiTheme="majorBidi" w:hAnsiTheme="majorBidi" w:cstheme="majorBidi"/>
          <w:b/>
          <w:bCs/>
          <w:sz w:val="28"/>
          <w:szCs w:val="28"/>
          <w:u w:val="single"/>
        </w:rPr>
      </w:pPr>
      <w:r w:rsidRPr="00DE4FD3">
        <w:rPr>
          <w:rFonts w:asciiTheme="majorBidi" w:hAnsiTheme="majorBidi" w:cstheme="majorBidi"/>
          <w:b/>
          <w:bCs/>
          <w:sz w:val="28"/>
          <w:szCs w:val="28"/>
          <w:u w:val="single"/>
        </w:rPr>
        <w:t xml:space="preserve">On the date of </w:t>
      </w:r>
      <w:r w:rsidR="000B31C0" w:rsidRPr="00DE4FD3">
        <w:rPr>
          <w:rFonts w:asciiTheme="majorBidi" w:hAnsiTheme="majorBidi" w:cstheme="majorBidi"/>
          <w:b/>
          <w:bCs/>
          <w:sz w:val="28"/>
          <w:szCs w:val="28"/>
          <w:u w:val="single"/>
        </w:rPr>
        <w:t xml:space="preserve"> 31 </w:t>
      </w:r>
      <w:r w:rsidR="005142B3" w:rsidRPr="00DE4FD3">
        <w:rPr>
          <w:rFonts w:asciiTheme="majorBidi" w:hAnsiTheme="majorBidi" w:cstheme="majorBidi"/>
          <w:b/>
          <w:bCs/>
          <w:sz w:val="28"/>
          <w:szCs w:val="28"/>
          <w:u w:val="single"/>
        </w:rPr>
        <w:t>Azar</w:t>
      </w:r>
      <w:r w:rsidR="000B31C0" w:rsidRPr="00DE4FD3">
        <w:rPr>
          <w:rFonts w:asciiTheme="majorBidi" w:hAnsiTheme="majorBidi" w:cstheme="majorBidi"/>
          <w:b/>
          <w:bCs/>
          <w:sz w:val="28"/>
          <w:szCs w:val="28"/>
          <w:u w:val="single"/>
        </w:rPr>
        <w:t xml:space="preserve"> 1395 (</w:t>
      </w:r>
      <w:r w:rsidR="005142B3" w:rsidRPr="00DE4FD3">
        <w:rPr>
          <w:rFonts w:asciiTheme="majorBidi" w:hAnsiTheme="majorBidi" w:cstheme="majorBidi"/>
          <w:b/>
          <w:bCs/>
          <w:sz w:val="28"/>
          <w:szCs w:val="28"/>
          <w:u w:val="single"/>
        </w:rPr>
        <w:t>20 December, 2016)</w:t>
      </w:r>
      <w:r w:rsidRPr="00DE4FD3">
        <w:rPr>
          <w:rFonts w:asciiTheme="majorBidi" w:hAnsiTheme="majorBidi" w:cstheme="majorBidi"/>
          <w:sz w:val="28"/>
          <w:szCs w:val="28"/>
          <w:u w:val="single"/>
        </w:rPr>
        <w:t xml:space="preserve"> </w:t>
      </w:r>
    </w:p>
    <w:p w:rsidR="00030E57" w:rsidRPr="00E63031" w:rsidRDefault="00E63031" w:rsidP="00E63031">
      <w:pPr>
        <w:tabs>
          <w:tab w:val="left" w:pos="3030"/>
        </w:tabs>
        <w:spacing w:after="0" w:line="240" w:lineRule="auto"/>
        <w:rPr>
          <w:rFonts w:asciiTheme="majorBidi" w:hAnsiTheme="majorBidi" w:cstheme="majorBidi"/>
          <w:b/>
          <w:bCs/>
          <w:sz w:val="6"/>
          <w:szCs w:val="6"/>
        </w:rPr>
      </w:pPr>
      <w:r w:rsidRPr="00E63031">
        <w:rPr>
          <w:rFonts w:asciiTheme="majorBidi" w:hAnsiTheme="majorBidi" w:cstheme="majorBidi"/>
          <w:b/>
          <w:bCs/>
          <w:sz w:val="6"/>
          <w:szCs w:val="6"/>
        </w:rPr>
        <w:tab/>
      </w:r>
    </w:p>
    <w:tbl>
      <w:tblPr>
        <w:tblStyle w:val="TableGrid"/>
        <w:tblW w:w="0" w:type="auto"/>
        <w:tblLayout w:type="fixed"/>
        <w:tblLook w:val="04A0" w:firstRow="1" w:lastRow="0" w:firstColumn="1" w:lastColumn="0" w:noHBand="0" w:noVBand="1"/>
      </w:tblPr>
      <w:tblGrid>
        <w:gridCol w:w="4503"/>
        <w:gridCol w:w="708"/>
        <w:gridCol w:w="1701"/>
        <w:gridCol w:w="2664"/>
      </w:tblGrid>
      <w:tr w:rsidR="00030E57" w:rsidRPr="00E63031" w:rsidTr="00E63031">
        <w:tc>
          <w:tcPr>
            <w:tcW w:w="4503" w:type="dxa"/>
            <w:vAlign w:val="center"/>
          </w:tcPr>
          <w:p w:rsidR="00030E57" w:rsidRPr="00E63031" w:rsidRDefault="00AF3B94"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Assets</w:t>
            </w:r>
          </w:p>
        </w:tc>
        <w:tc>
          <w:tcPr>
            <w:tcW w:w="708" w:type="dxa"/>
            <w:vAlign w:val="center"/>
          </w:tcPr>
          <w:p w:rsidR="00030E57" w:rsidRPr="00E63031" w:rsidRDefault="00030E57" w:rsidP="00E63031">
            <w:pPr>
              <w:spacing w:line="200" w:lineRule="exact"/>
              <w:jc w:val="center"/>
              <w:rPr>
                <w:rFonts w:asciiTheme="majorBidi" w:hAnsiTheme="majorBidi" w:cstheme="majorBidi"/>
                <w:b/>
                <w:bCs/>
                <w:sz w:val="20"/>
                <w:szCs w:val="20"/>
              </w:rPr>
            </w:pPr>
          </w:p>
        </w:tc>
        <w:tc>
          <w:tcPr>
            <w:tcW w:w="1701" w:type="dxa"/>
            <w:vAlign w:val="center"/>
          </w:tcPr>
          <w:p w:rsidR="00030E57" w:rsidRPr="00E63031" w:rsidRDefault="0088458B"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30. 09.1395 (</w:t>
            </w:r>
            <w:r w:rsidR="00AF3B94" w:rsidRPr="00E63031">
              <w:rPr>
                <w:rFonts w:asciiTheme="majorBidi" w:hAnsiTheme="majorBidi" w:cstheme="majorBidi"/>
                <w:b/>
                <w:bCs/>
                <w:sz w:val="20"/>
                <w:szCs w:val="20"/>
              </w:rPr>
              <w:t>20.12.2016</w:t>
            </w:r>
            <w:r w:rsidRPr="00E63031">
              <w:rPr>
                <w:rFonts w:asciiTheme="majorBidi" w:hAnsiTheme="majorBidi" w:cstheme="majorBidi"/>
                <w:b/>
                <w:bCs/>
                <w:sz w:val="20"/>
                <w:szCs w:val="20"/>
              </w:rPr>
              <w:t>)</w:t>
            </w:r>
          </w:p>
        </w:tc>
        <w:tc>
          <w:tcPr>
            <w:tcW w:w="2664" w:type="dxa"/>
          </w:tcPr>
          <w:p w:rsidR="00A65967" w:rsidRPr="00E63031" w:rsidRDefault="00AF3B94"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Renewal presented</w:t>
            </w:r>
          </w:p>
          <w:p w:rsidR="00AF3B94" w:rsidRPr="00E63031" w:rsidRDefault="00AF3B94"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 xml:space="preserve"> (re-presented)</w:t>
            </w:r>
          </w:p>
          <w:p w:rsidR="00EC3AF5" w:rsidRPr="00E63031" w:rsidRDefault="00A65967"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 xml:space="preserve">30.09.1394 </w:t>
            </w:r>
            <w:r w:rsidR="0088458B" w:rsidRPr="00E63031">
              <w:rPr>
                <w:rFonts w:asciiTheme="majorBidi" w:hAnsiTheme="majorBidi" w:cstheme="majorBidi"/>
                <w:b/>
                <w:bCs/>
                <w:sz w:val="20"/>
                <w:szCs w:val="20"/>
              </w:rPr>
              <w:t>(</w:t>
            </w:r>
            <w:r w:rsidR="00AF3B94" w:rsidRPr="00E63031">
              <w:rPr>
                <w:rFonts w:asciiTheme="majorBidi" w:hAnsiTheme="majorBidi" w:cstheme="majorBidi"/>
                <w:b/>
                <w:bCs/>
                <w:sz w:val="20"/>
                <w:szCs w:val="20"/>
              </w:rPr>
              <w:t>21.12.2015</w:t>
            </w:r>
            <w:r w:rsidR="0088458B" w:rsidRPr="00E63031">
              <w:rPr>
                <w:rFonts w:asciiTheme="majorBidi" w:hAnsiTheme="majorBidi" w:cstheme="majorBidi"/>
                <w:b/>
                <w:bCs/>
                <w:sz w:val="20"/>
                <w:szCs w:val="20"/>
              </w:rPr>
              <w:t>)</w:t>
            </w:r>
          </w:p>
        </w:tc>
      </w:tr>
      <w:tr w:rsidR="006C6155" w:rsidRPr="00E63031" w:rsidTr="00251036">
        <w:tc>
          <w:tcPr>
            <w:tcW w:w="4503" w:type="dxa"/>
            <w:tcBorders>
              <w:bottom w:val="double" w:sz="4" w:space="0" w:color="auto"/>
            </w:tcBorders>
            <w:vAlign w:val="center"/>
          </w:tcPr>
          <w:p w:rsidR="006C6155" w:rsidRPr="00E63031" w:rsidRDefault="00AF3B94"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 xml:space="preserve">Assets </w:t>
            </w:r>
          </w:p>
        </w:tc>
        <w:tc>
          <w:tcPr>
            <w:tcW w:w="708" w:type="dxa"/>
            <w:tcBorders>
              <w:bottom w:val="double" w:sz="4" w:space="0" w:color="auto"/>
            </w:tcBorders>
            <w:vAlign w:val="center"/>
          </w:tcPr>
          <w:p w:rsidR="006C6155" w:rsidRPr="00E63031" w:rsidRDefault="006C6155" w:rsidP="00E63031">
            <w:pPr>
              <w:spacing w:line="200" w:lineRule="exact"/>
              <w:jc w:val="center"/>
              <w:rPr>
                <w:rFonts w:asciiTheme="majorBidi" w:hAnsiTheme="majorBidi" w:cstheme="majorBidi"/>
                <w:b/>
                <w:bCs/>
                <w:sz w:val="20"/>
                <w:szCs w:val="20"/>
              </w:rPr>
            </w:pPr>
          </w:p>
        </w:tc>
        <w:tc>
          <w:tcPr>
            <w:tcW w:w="1701" w:type="dxa"/>
            <w:tcBorders>
              <w:bottom w:val="double" w:sz="4" w:space="0" w:color="auto"/>
            </w:tcBorders>
            <w:vAlign w:val="center"/>
          </w:tcPr>
          <w:p w:rsidR="006C6155" w:rsidRPr="00E63031" w:rsidRDefault="0088458B"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Million Rls.</w:t>
            </w:r>
          </w:p>
        </w:tc>
        <w:tc>
          <w:tcPr>
            <w:tcW w:w="2664" w:type="dxa"/>
            <w:tcBorders>
              <w:bottom w:val="double" w:sz="4" w:space="0" w:color="auto"/>
            </w:tcBorders>
          </w:tcPr>
          <w:p w:rsidR="006C6155" w:rsidRPr="00E63031" w:rsidRDefault="0088458B" w:rsidP="00E63031">
            <w:pPr>
              <w:spacing w:line="200" w:lineRule="exact"/>
              <w:ind w:left="-113" w:right="-115"/>
              <w:jc w:val="center"/>
              <w:rPr>
                <w:rFonts w:asciiTheme="majorBidi" w:hAnsiTheme="majorBidi" w:cstheme="majorBidi"/>
                <w:b/>
                <w:bCs/>
                <w:sz w:val="20"/>
                <w:szCs w:val="20"/>
              </w:rPr>
            </w:pPr>
            <w:r w:rsidRPr="00E63031">
              <w:rPr>
                <w:rFonts w:asciiTheme="majorBidi" w:hAnsiTheme="majorBidi" w:cstheme="majorBidi"/>
                <w:b/>
                <w:bCs/>
                <w:sz w:val="20"/>
                <w:szCs w:val="20"/>
              </w:rPr>
              <w:t>Million Rls.</w:t>
            </w:r>
          </w:p>
        </w:tc>
      </w:tr>
      <w:tr w:rsidR="00030E57" w:rsidRPr="00E63031" w:rsidTr="00251036">
        <w:tc>
          <w:tcPr>
            <w:tcW w:w="4503" w:type="dxa"/>
            <w:tcBorders>
              <w:top w:val="double" w:sz="4" w:space="0" w:color="auto"/>
            </w:tcBorders>
          </w:tcPr>
          <w:p w:rsidR="00030E57" w:rsidRPr="00E63031" w:rsidRDefault="00EC3AF5"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Cash</w:t>
            </w:r>
            <w:r w:rsidR="00030E57" w:rsidRPr="00E63031">
              <w:rPr>
                <w:rFonts w:asciiTheme="majorBidi" w:hAnsiTheme="majorBidi" w:cstheme="majorBidi"/>
                <w:b/>
                <w:bCs/>
                <w:sz w:val="20"/>
                <w:szCs w:val="20"/>
              </w:rPr>
              <w:t xml:space="preserve"> assets</w:t>
            </w:r>
          </w:p>
        </w:tc>
        <w:tc>
          <w:tcPr>
            <w:tcW w:w="708" w:type="dxa"/>
            <w:tcBorders>
              <w:top w:val="double" w:sz="4" w:space="0" w:color="auto"/>
            </w:tcBorders>
          </w:tcPr>
          <w:p w:rsidR="00030E57" w:rsidRPr="00E63031" w:rsidRDefault="00AF3B94"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10</w:t>
            </w:r>
          </w:p>
        </w:tc>
        <w:tc>
          <w:tcPr>
            <w:tcW w:w="1701" w:type="dxa"/>
            <w:tcBorders>
              <w:top w:val="double" w:sz="4" w:space="0" w:color="auto"/>
            </w:tcBorders>
            <w:vAlign w:val="center"/>
          </w:tcPr>
          <w:p w:rsidR="00030E57"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6,384,</w:t>
            </w:r>
            <w:r w:rsidR="00AF3B94" w:rsidRPr="00E63031">
              <w:rPr>
                <w:rFonts w:asciiTheme="majorBidi" w:hAnsiTheme="majorBidi" w:cstheme="majorBidi"/>
                <w:sz w:val="20"/>
                <w:szCs w:val="20"/>
              </w:rPr>
              <w:t>252</w:t>
            </w:r>
            <w:r w:rsidR="004777A7" w:rsidRPr="00E63031">
              <w:rPr>
                <w:rFonts w:asciiTheme="majorBidi" w:hAnsiTheme="majorBidi" w:cstheme="majorBidi"/>
                <w:sz w:val="20"/>
                <w:szCs w:val="20"/>
              </w:rPr>
              <w:t>.00</w:t>
            </w:r>
          </w:p>
        </w:tc>
        <w:tc>
          <w:tcPr>
            <w:tcW w:w="2664" w:type="dxa"/>
            <w:tcBorders>
              <w:top w:val="double" w:sz="4" w:space="0" w:color="auto"/>
            </w:tcBorders>
            <w:vAlign w:val="center"/>
          </w:tcPr>
          <w:p w:rsidR="00030E57" w:rsidRPr="00E63031" w:rsidRDefault="00AF3B94"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3.303.214</w:t>
            </w:r>
            <w:r w:rsidR="004777A7" w:rsidRPr="00E63031">
              <w:rPr>
                <w:rFonts w:asciiTheme="majorBidi" w:hAnsiTheme="majorBidi" w:cstheme="majorBidi"/>
                <w:sz w:val="20"/>
                <w:szCs w:val="20"/>
              </w:rPr>
              <w:t>.00</w:t>
            </w:r>
          </w:p>
        </w:tc>
      </w:tr>
      <w:tr w:rsidR="00030E57" w:rsidRPr="00E63031" w:rsidTr="00E63031">
        <w:tc>
          <w:tcPr>
            <w:tcW w:w="4503" w:type="dxa"/>
          </w:tcPr>
          <w:p w:rsidR="00030E57" w:rsidRPr="00E63031" w:rsidRDefault="00893E6A" w:rsidP="00E63031">
            <w:pPr>
              <w:spacing w:line="200" w:lineRule="exact"/>
              <w:ind w:right="-108"/>
              <w:rPr>
                <w:rFonts w:asciiTheme="majorBidi" w:hAnsiTheme="majorBidi" w:cstheme="majorBidi"/>
                <w:b/>
                <w:bCs/>
                <w:sz w:val="20"/>
                <w:szCs w:val="20"/>
              </w:rPr>
            </w:pPr>
            <w:r w:rsidRPr="00E63031">
              <w:rPr>
                <w:rStyle w:val="shorttext"/>
                <w:rFonts w:asciiTheme="majorBidi" w:hAnsiTheme="majorBidi" w:cstheme="majorBidi"/>
                <w:b/>
                <w:bCs/>
                <w:sz w:val="20"/>
                <w:szCs w:val="20"/>
                <w:lang w:val="en"/>
              </w:rPr>
              <w:t>Collectibles</w:t>
            </w:r>
            <w:r w:rsidR="00AF3B94" w:rsidRPr="00E63031">
              <w:rPr>
                <w:rStyle w:val="shorttext"/>
                <w:rFonts w:asciiTheme="majorBidi" w:hAnsiTheme="majorBidi" w:cstheme="majorBidi"/>
                <w:b/>
                <w:bCs/>
                <w:sz w:val="20"/>
                <w:szCs w:val="20"/>
                <w:lang w:val="en"/>
              </w:rPr>
              <w:t xml:space="preserve"> from banks </w:t>
            </w:r>
            <w:r w:rsidR="00E63031">
              <w:rPr>
                <w:rStyle w:val="shorttext"/>
                <w:rFonts w:asciiTheme="majorBidi" w:hAnsiTheme="majorBidi" w:cstheme="majorBidi"/>
                <w:b/>
                <w:bCs/>
                <w:sz w:val="20"/>
                <w:szCs w:val="20"/>
                <w:lang w:val="en"/>
              </w:rPr>
              <w:t>&amp;</w:t>
            </w:r>
            <w:r w:rsidR="00AF3B94" w:rsidRPr="00E63031">
              <w:rPr>
                <w:rStyle w:val="shorttext"/>
                <w:rFonts w:asciiTheme="majorBidi" w:hAnsiTheme="majorBidi" w:cstheme="majorBidi"/>
                <w:b/>
                <w:bCs/>
                <w:sz w:val="20"/>
                <w:szCs w:val="20"/>
                <w:lang w:val="en"/>
              </w:rPr>
              <w:t xml:space="preserve"> other credit institutions</w:t>
            </w:r>
          </w:p>
        </w:tc>
        <w:tc>
          <w:tcPr>
            <w:tcW w:w="708" w:type="dxa"/>
          </w:tcPr>
          <w:p w:rsidR="00030E57" w:rsidRPr="00E63031" w:rsidRDefault="00AF3B94"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11</w:t>
            </w:r>
          </w:p>
        </w:tc>
        <w:tc>
          <w:tcPr>
            <w:tcW w:w="1701" w:type="dxa"/>
            <w:vAlign w:val="center"/>
          </w:tcPr>
          <w:p w:rsidR="00030E57"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1,035,</w:t>
            </w:r>
            <w:r w:rsidR="00AF3B94" w:rsidRPr="00E63031">
              <w:rPr>
                <w:rFonts w:asciiTheme="majorBidi" w:hAnsiTheme="majorBidi" w:cstheme="majorBidi"/>
                <w:sz w:val="20"/>
                <w:szCs w:val="20"/>
              </w:rPr>
              <w:t>694</w:t>
            </w:r>
            <w:r w:rsidR="004777A7" w:rsidRPr="00E63031">
              <w:rPr>
                <w:rFonts w:asciiTheme="majorBidi" w:hAnsiTheme="majorBidi" w:cstheme="majorBidi"/>
                <w:sz w:val="20"/>
                <w:szCs w:val="20"/>
              </w:rPr>
              <w:t>.00</w:t>
            </w:r>
          </w:p>
        </w:tc>
        <w:tc>
          <w:tcPr>
            <w:tcW w:w="2664" w:type="dxa"/>
            <w:vAlign w:val="center"/>
          </w:tcPr>
          <w:p w:rsidR="00030E57"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1,069,</w:t>
            </w:r>
            <w:r w:rsidR="00AF3B94" w:rsidRPr="00E63031">
              <w:rPr>
                <w:rFonts w:asciiTheme="majorBidi" w:hAnsiTheme="majorBidi" w:cstheme="majorBidi"/>
                <w:sz w:val="20"/>
                <w:szCs w:val="20"/>
              </w:rPr>
              <w:t>017</w:t>
            </w:r>
            <w:r w:rsidR="004777A7" w:rsidRPr="00E63031">
              <w:rPr>
                <w:rFonts w:asciiTheme="majorBidi" w:hAnsiTheme="majorBidi" w:cstheme="majorBidi"/>
                <w:sz w:val="20"/>
                <w:szCs w:val="20"/>
              </w:rPr>
              <w:t>.00</w:t>
            </w:r>
          </w:p>
        </w:tc>
      </w:tr>
      <w:tr w:rsidR="00030E57" w:rsidRPr="00E63031" w:rsidTr="00E63031">
        <w:trPr>
          <w:trHeight w:val="334"/>
        </w:trPr>
        <w:tc>
          <w:tcPr>
            <w:tcW w:w="4503" w:type="dxa"/>
          </w:tcPr>
          <w:p w:rsidR="00030E57" w:rsidRPr="00E63031" w:rsidRDefault="00D516BB"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Granted </w:t>
            </w:r>
            <w:r w:rsidR="00A4221C" w:rsidRPr="00E63031">
              <w:rPr>
                <w:rFonts w:asciiTheme="majorBidi" w:hAnsiTheme="majorBidi" w:cstheme="majorBidi"/>
                <w:b/>
                <w:bCs/>
                <w:sz w:val="20"/>
                <w:szCs w:val="20"/>
              </w:rPr>
              <w:t>loans</w:t>
            </w:r>
            <w:r w:rsidRPr="00E63031">
              <w:rPr>
                <w:rFonts w:asciiTheme="majorBidi" w:hAnsiTheme="majorBidi" w:cstheme="majorBidi"/>
                <w:b/>
                <w:bCs/>
                <w:sz w:val="20"/>
                <w:szCs w:val="20"/>
              </w:rPr>
              <w:t xml:space="preserve"> </w:t>
            </w:r>
            <w:r w:rsidR="00AF3B94" w:rsidRPr="00E63031">
              <w:rPr>
                <w:rFonts w:asciiTheme="majorBidi" w:hAnsiTheme="majorBidi" w:cstheme="majorBidi"/>
                <w:b/>
                <w:bCs/>
                <w:sz w:val="20"/>
                <w:szCs w:val="20"/>
              </w:rPr>
              <w:t xml:space="preserve">and </w:t>
            </w:r>
            <w:r w:rsidR="00A4221C" w:rsidRPr="00E63031">
              <w:rPr>
                <w:rFonts w:asciiTheme="majorBidi" w:hAnsiTheme="majorBidi" w:cstheme="majorBidi"/>
                <w:b/>
                <w:bCs/>
                <w:sz w:val="20"/>
                <w:szCs w:val="20"/>
              </w:rPr>
              <w:t>collectibles</w:t>
            </w:r>
            <w:r w:rsidR="00AF3B94" w:rsidRPr="00E63031">
              <w:rPr>
                <w:rFonts w:asciiTheme="majorBidi" w:hAnsiTheme="majorBidi" w:cstheme="majorBidi"/>
                <w:b/>
                <w:bCs/>
                <w:sz w:val="20"/>
                <w:szCs w:val="20"/>
              </w:rPr>
              <w:t xml:space="preserve"> from non-governmental persons </w:t>
            </w:r>
          </w:p>
        </w:tc>
        <w:tc>
          <w:tcPr>
            <w:tcW w:w="708" w:type="dxa"/>
            <w:vAlign w:val="center"/>
          </w:tcPr>
          <w:p w:rsidR="00030E57" w:rsidRPr="00E63031" w:rsidRDefault="00AF3B94"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12</w:t>
            </w:r>
          </w:p>
        </w:tc>
        <w:tc>
          <w:tcPr>
            <w:tcW w:w="1701" w:type="dxa"/>
            <w:vAlign w:val="center"/>
          </w:tcPr>
          <w:p w:rsidR="00030E57"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58,343,</w:t>
            </w:r>
            <w:r w:rsidR="00AF3B94" w:rsidRPr="00E63031">
              <w:rPr>
                <w:rFonts w:asciiTheme="majorBidi" w:hAnsiTheme="majorBidi" w:cstheme="majorBidi"/>
                <w:sz w:val="20"/>
                <w:szCs w:val="20"/>
              </w:rPr>
              <w:t>456</w:t>
            </w:r>
            <w:r w:rsidR="004777A7" w:rsidRPr="00E63031">
              <w:rPr>
                <w:rFonts w:asciiTheme="majorBidi" w:hAnsiTheme="majorBidi" w:cstheme="majorBidi"/>
                <w:sz w:val="20"/>
                <w:szCs w:val="20"/>
              </w:rPr>
              <w:t>.00</w:t>
            </w:r>
          </w:p>
        </w:tc>
        <w:tc>
          <w:tcPr>
            <w:tcW w:w="2664" w:type="dxa"/>
            <w:vAlign w:val="center"/>
          </w:tcPr>
          <w:p w:rsidR="00030E57" w:rsidRPr="00E63031" w:rsidRDefault="00D516BB"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27,177,</w:t>
            </w:r>
            <w:r w:rsidR="00AF3B94" w:rsidRPr="00E63031">
              <w:rPr>
                <w:rFonts w:asciiTheme="majorBidi" w:hAnsiTheme="majorBidi" w:cstheme="majorBidi"/>
                <w:sz w:val="20"/>
                <w:szCs w:val="20"/>
              </w:rPr>
              <w:t>077</w:t>
            </w:r>
            <w:r w:rsidR="004777A7" w:rsidRPr="00E63031">
              <w:rPr>
                <w:rFonts w:asciiTheme="majorBidi" w:hAnsiTheme="majorBidi" w:cstheme="majorBidi"/>
                <w:sz w:val="20"/>
                <w:szCs w:val="20"/>
              </w:rPr>
              <w:t>.00</w:t>
            </w:r>
          </w:p>
        </w:tc>
      </w:tr>
      <w:tr w:rsidR="00E805DF" w:rsidRPr="00E63031" w:rsidTr="00E63031">
        <w:tc>
          <w:tcPr>
            <w:tcW w:w="4503" w:type="dxa"/>
          </w:tcPr>
          <w:p w:rsidR="00E805DF" w:rsidRPr="00E63031" w:rsidRDefault="004F5400"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Investment in stocks and other securities </w:t>
            </w:r>
          </w:p>
        </w:tc>
        <w:tc>
          <w:tcPr>
            <w:tcW w:w="708" w:type="dxa"/>
            <w:vAlign w:val="center"/>
          </w:tcPr>
          <w:p w:rsidR="00E805DF" w:rsidRPr="00E63031" w:rsidRDefault="004F5400"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13</w:t>
            </w:r>
          </w:p>
        </w:tc>
        <w:tc>
          <w:tcPr>
            <w:tcW w:w="1701" w:type="dxa"/>
            <w:vAlign w:val="center"/>
          </w:tcPr>
          <w:p w:rsidR="00E805DF"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2,430,</w:t>
            </w:r>
            <w:r w:rsidR="004F5400" w:rsidRPr="00E63031">
              <w:rPr>
                <w:rFonts w:asciiTheme="majorBidi" w:hAnsiTheme="majorBidi" w:cstheme="majorBidi"/>
                <w:sz w:val="20"/>
                <w:szCs w:val="20"/>
              </w:rPr>
              <w:t>931</w:t>
            </w:r>
            <w:r w:rsidR="004777A7" w:rsidRPr="00E63031">
              <w:rPr>
                <w:rFonts w:asciiTheme="majorBidi" w:hAnsiTheme="majorBidi" w:cstheme="majorBidi"/>
                <w:sz w:val="20"/>
                <w:szCs w:val="20"/>
              </w:rPr>
              <w:t>.00</w:t>
            </w:r>
          </w:p>
        </w:tc>
        <w:tc>
          <w:tcPr>
            <w:tcW w:w="2664" w:type="dxa"/>
            <w:vAlign w:val="center"/>
          </w:tcPr>
          <w:p w:rsidR="00E805DF" w:rsidRPr="00E63031" w:rsidRDefault="00D516BB"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6,192,</w:t>
            </w:r>
            <w:r w:rsidR="004F5400" w:rsidRPr="00E63031">
              <w:rPr>
                <w:rFonts w:asciiTheme="majorBidi" w:hAnsiTheme="majorBidi" w:cstheme="majorBidi"/>
                <w:sz w:val="20"/>
                <w:szCs w:val="20"/>
              </w:rPr>
              <w:t>905</w:t>
            </w:r>
            <w:r w:rsidR="004777A7" w:rsidRPr="00E63031">
              <w:rPr>
                <w:rFonts w:asciiTheme="majorBidi" w:hAnsiTheme="majorBidi" w:cstheme="majorBidi"/>
                <w:sz w:val="20"/>
                <w:szCs w:val="20"/>
              </w:rPr>
              <w:t>.00</w:t>
            </w:r>
          </w:p>
        </w:tc>
      </w:tr>
      <w:tr w:rsidR="00E805DF" w:rsidRPr="00E63031" w:rsidTr="00E63031">
        <w:tc>
          <w:tcPr>
            <w:tcW w:w="4503" w:type="dxa"/>
          </w:tcPr>
          <w:p w:rsidR="00E805DF" w:rsidRPr="00E63031" w:rsidRDefault="00A4221C"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Collectibles</w:t>
            </w:r>
            <w:r w:rsidR="004F5400" w:rsidRPr="00E63031">
              <w:rPr>
                <w:rFonts w:asciiTheme="majorBidi" w:hAnsiTheme="majorBidi" w:cstheme="majorBidi"/>
                <w:b/>
                <w:bCs/>
                <w:sz w:val="20"/>
                <w:szCs w:val="20"/>
              </w:rPr>
              <w:t xml:space="preserve"> from subsidiaries and affiliates </w:t>
            </w:r>
          </w:p>
        </w:tc>
        <w:tc>
          <w:tcPr>
            <w:tcW w:w="708" w:type="dxa"/>
          </w:tcPr>
          <w:p w:rsidR="00E805DF" w:rsidRPr="00E63031" w:rsidRDefault="004F5400"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14</w:t>
            </w:r>
          </w:p>
        </w:tc>
        <w:tc>
          <w:tcPr>
            <w:tcW w:w="1701" w:type="dxa"/>
            <w:vAlign w:val="center"/>
          </w:tcPr>
          <w:p w:rsidR="00E805DF"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44,</w:t>
            </w:r>
            <w:r w:rsidR="004F5400" w:rsidRPr="00E63031">
              <w:rPr>
                <w:rFonts w:asciiTheme="majorBidi" w:hAnsiTheme="majorBidi" w:cstheme="majorBidi"/>
                <w:sz w:val="20"/>
                <w:szCs w:val="20"/>
              </w:rPr>
              <w:t>278</w:t>
            </w:r>
            <w:r w:rsidR="004777A7" w:rsidRPr="00E63031">
              <w:rPr>
                <w:rFonts w:asciiTheme="majorBidi" w:hAnsiTheme="majorBidi" w:cstheme="majorBidi"/>
                <w:sz w:val="20"/>
                <w:szCs w:val="20"/>
              </w:rPr>
              <w:t>.00</w:t>
            </w:r>
          </w:p>
        </w:tc>
        <w:tc>
          <w:tcPr>
            <w:tcW w:w="2664" w:type="dxa"/>
            <w:vAlign w:val="center"/>
          </w:tcPr>
          <w:p w:rsidR="00E805DF" w:rsidRPr="00E63031" w:rsidRDefault="00D516BB"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565,</w:t>
            </w:r>
            <w:r w:rsidR="004F5400" w:rsidRPr="00E63031">
              <w:rPr>
                <w:rFonts w:asciiTheme="majorBidi" w:hAnsiTheme="majorBidi" w:cstheme="majorBidi"/>
                <w:sz w:val="20"/>
                <w:szCs w:val="20"/>
              </w:rPr>
              <w:t>894</w:t>
            </w:r>
            <w:r w:rsidR="004777A7" w:rsidRPr="00E63031">
              <w:rPr>
                <w:rFonts w:asciiTheme="majorBidi" w:hAnsiTheme="majorBidi" w:cstheme="majorBidi"/>
                <w:sz w:val="20"/>
                <w:szCs w:val="20"/>
              </w:rPr>
              <w:t>.00</w:t>
            </w:r>
          </w:p>
        </w:tc>
      </w:tr>
      <w:tr w:rsidR="004F5400" w:rsidRPr="00E63031" w:rsidTr="00E63031">
        <w:tc>
          <w:tcPr>
            <w:tcW w:w="4503" w:type="dxa"/>
          </w:tcPr>
          <w:p w:rsidR="004F5400" w:rsidRPr="00E63031" w:rsidRDefault="00A4221C"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Other account </w:t>
            </w:r>
            <w:r w:rsidR="004F5400" w:rsidRPr="00E63031">
              <w:rPr>
                <w:rFonts w:asciiTheme="majorBidi" w:hAnsiTheme="majorBidi" w:cstheme="majorBidi"/>
                <w:b/>
                <w:bCs/>
                <w:sz w:val="20"/>
                <w:szCs w:val="20"/>
              </w:rPr>
              <w:t>receivable</w:t>
            </w:r>
            <w:r w:rsidRPr="00E63031">
              <w:rPr>
                <w:rFonts w:asciiTheme="majorBidi" w:hAnsiTheme="majorBidi" w:cstheme="majorBidi"/>
                <w:b/>
                <w:bCs/>
                <w:sz w:val="20"/>
                <w:szCs w:val="20"/>
              </w:rPr>
              <w:t>s</w:t>
            </w:r>
            <w:r w:rsidR="004F5400" w:rsidRPr="00E63031">
              <w:rPr>
                <w:rFonts w:asciiTheme="majorBidi" w:hAnsiTheme="majorBidi" w:cstheme="majorBidi"/>
                <w:b/>
                <w:bCs/>
                <w:sz w:val="20"/>
                <w:szCs w:val="20"/>
              </w:rPr>
              <w:t xml:space="preserve"> </w:t>
            </w:r>
          </w:p>
        </w:tc>
        <w:tc>
          <w:tcPr>
            <w:tcW w:w="708" w:type="dxa"/>
          </w:tcPr>
          <w:p w:rsidR="004F5400" w:rsidRPr="00E63031" w:rsidRDefault="004F5400"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15</w:t>
            </w:r>
          </w:p>
        </w:tc>
        <w:tc>
          <w:tcPr>
            <w:tcW w:w="1701" w:type="dxa"/>
            <w:vAlign w:val="center"/>
          </w:tcPr>
          <w:p w:rsidR="004F5400"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61,940,</w:t>
            </w:r>
            <w:r w:rsidR="004F5400" w:rsidRPr="00E63031">
              <w:rPr>
                <w:rFonts w:asciiTheme="majorBidi" w:hAnsiTheme="majorBidi" w:cstheme="majorBidi"/>
                <w:sz w:val="20"/>
                <w:szCs w:val="20"/>
              </w:rPr>
              <w:t>027</w:t>
            </w:r>
            <w:r w:rsidR="004777A7" w:rsidRPr="00E63031">
              <w:rPr>
                <w:rFonts w:asciiTheme="majorBidi" w:hAnsiTheme="majorBidi" w:cstheme="majorBidi"/>
                <w:sz w:val="20"/>
                <w:szCs w:val="20"/>
              </w:rPr>
              <w:t>.00</w:t>
            </w:r>
          </w:p>
        </w:tc>
        <w:tc>
          <w:tcPr>
            <w:tcW w:w="2664" w:type="dxa"/>
            <w:vAlign w:val="center"/>
          </w:tcPr>
          <w:p w:rsidR="004F5400" w:rsidRPr="00E63031" w:rsidRDefault="00D516BB"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49,577,</w:t>
            </w:r>
            <w:r w:rsidR="004F5400" w:rsidRPr="00E63031">
              <w:rPr>
                <w:rFonts w:asciiTheme="majorBidi" w:hAnsiTheme="majorBidi" w:cstheme="majorBidi"/>
                <w:sz w:val="20"/>
                <w:szCs w:val="20"/>
              </w:rPr>
              <w:t>749</w:t>
            </w:r>
            <w:r w:rsidR="004777A7" w:rsidRPr="00E63031">
              <w:rPr>
                <w:rFonts w:asciiTheme="majorBidi" w:hAnsiTheme="majorBidi" w:cstheme="majorBidi"/>
                <w:sz w:val="20"/>
                <w:szCs w:val="20"/>
              </w:rPr>
              <w:t>.00</w:t>
            </w:r>
          </w:p>
        </w:tc>
      </w:tr>
      <w:tr w:rsidR="004F5400" w:rsidRPr="00E63031" w:rsidTr="00E63031">
        <w:tc>
          <w:tcPr>
            <w:tcW w:w="4503" w:type="dxa"/>
          </w:tcPr>
          <w:p w:rsidR="004F5400" w:rsidRPr="00E63031" w:rsidRDefault="004F5400"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Assets held for sale </w:t>
            </w:r>
          </w:p>
        </w:tc>
        <w:tc>
          <w:tcPr>
            <w:tcW w:w="708" w:type="dxa"/>
          </w:tcPr>
          <w:p w:rsidR="004F5400" w:rsidRPr="00E63031" w:rsidRDefault="004F5400"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16</w:t>
            </w:r>
          </w:p>
        </w:tc>
        <w:tc>
          <w:tcPr>
            <w:tcW w:w="1701" w:type="dxa"/>
            <w:vAlign w:val="center"/>
          </w:tcPr>
          <w:p w:rsidR="004F5400"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737,</w:t>
            </w:r>
            <w:r w:rsidR="004F5400" w:rsidRPr="00E63031">
              <w:rPr>
                <w:rFonts w:asciiTheme="majorBidi" w:hAnsiTheme="majorBidi" w:cstheme="majorBidi"/>
                <w:sz w:val="20"/>
                <w:szCs w:val="20"/>
              </w:rPr>
              <w:t>548</w:t>
            </w:r>
            <w:r w:rsidR="004777A7" w:rsidRPr="00E63031">
              <w:rPr>
                <w:rFonts w:asciiTheme="majorBidi" w:hAnsiTheme="majorBidi" w:cstheme="majorBidi"/>
                <w:sz w:val="20"/>
                <w:szCs w:val="20"/>
              </w:rPr>
              <w:t>.00</w:t>
            </w:r>
          </w:p>
        </w:tc>
        <w:tc>
          <w:tcPr>
            <w:tcW w:w="2664" w:type="dxa"/>
            <w:vAlign w:val="center"/>
          </w:tcPr>
          <w:p w:rsidR="004F5400" w:rsidRPr="00E63031" w:rsidRDefault="00D516BB"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137,</w:t>
            </w:r>
            <w:r w:rsidR="004F5400" w:rsidRPr="00E63031">
              <w:rPr>
                <w:rFonts w:asciiTheme="majorBidi" w:hAnsiTheme="majorBidi" w:cstheme="majorBidi"/>
                <w:sz w:val="20"/>
                <w:szCs w:val="20"/>
              </w:rPr>
              <w:t>334</w:t>
            </w:r>
            <w:r w:rsidR="004777A7" w:rsidRPr="00E63031">
              <w:rPr>
                <w:rFonts w:asciiTheme="majorBidi" w:hAnsiTheme="majorBidi" w:cstheme="majorBidi"/>
                <w:sz w:val="20"/>
                <w:szCs w:val="20"/>
              </w:rPr>
              <w:t>.00</w:t>
            </w:r>
          </w:p>
        </w:tc>
      </w:tr>
      <w:tr w:rsidR="004F5400" w:rsidRPr="00E63031" w:rsidTr="00E63031">
        <w:tc>
          <w:tcPr>
            <w:tcW w:w="4503" w:type="dxa"/>
          </w:tcPr>
          <w:p w:rsidR="004F5400" w:rsidRPr="00E63031" w:rsidRDefault="00A4221C"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Fixed </w:t>
            </w:r>
            <w:r w:rsidR="00DF187A" w:rsidRPr="00E63031">
              <w:rPr>
                <w:rFonts w:asciiTheme="majorBidi" w:hAnsiTheme="majorBidi" w:cstheme="majorBidi"/>
                <w:b/>
                <w:bCs/>
                <w:sz w:val="20"/>
                <w:szCs w:val="20"/>
              </w:rPr>
              <w:t>t</w:t>
            </w:r>
            <w:r w:rsidR="004F5400" w:rsidRPr="00E63031">
              <w:rPr>
                <w:rFonts w:asciiTheme="majorBidi" w:hAnsiTheme="majorBidi" w:cstheme="majorBidi"/>
                <w:b/>
                <w:bCs/>
                <w:sz w:val="20"/>
                <w:szCs w:val="20"/>
              </w:rPr>
              <w:t>angible assets</w:t>
            </w:r>
          </w:p>
        </w:tc>
        <w:tc>
          <w:tcPr>
            <w:tcW w:w="708" w:type="dxa"/>
          </w:tcPr>
          <w:p w:rsidR="004F5400" w:rsidRPr="00E63031" w:rsidRDefault="004F5400"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17</w:t>
            </w:r>
          </w:p>
        </w:tc>
        <w:tc>
          <w:tcPr>
            <w:tcW w:w="1701" w:type="dxa"/>
            <w:vAlign w:val="center"/>
          </w:tcPr>
          <w:p w:rsidR="004F5400"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3,278,</w:t>
            </w:r>
            <w:r w:rsidR="004F5400" w:rsidRPr="00E63031">
              <w:rPr>
                <w:rFonts w:asciiTheme="majorBidi" w:hAnsiTheme="majorBidi" w:cstheme="majorBidi"/>
                <w:sz w:val="20"/>
                <w:szCs w:val="20"/>
              </w:rPr>
              <w:t>627</w:t>
            </w:r>
            <w:r w:rsidR="004777A7" w:rsidRPr="00E63031">
              <w:rPr>
                <w:rFonts w:asciiTheme="majorBidi" w:hAnsiTheme="majorBidi" w:cstheme="majorBidi"/>
                <w:sz w:val="20"/>
                <w:szCs w:val="20"/>
              </w:rPr>
              <w:t>.00</w:t>
            </w:r>
          </w:p>
        </w:tc>
        <w:tc>
          <w:tcPr>
            <w:tcW w:w="2664" w:type="dxa"/>
            <w:vAlign w:val="center"/>
          </w:tcPr>
          <w:p w:rsidR="004F5400" w:rsidRPr="00E63031" w:rsidRDefault="00D516BB"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3,898,</w:t>
            </w:r>
            <w:r w:rsidR="004F5400" w:rsidRPr="00E63031">
              <w:rPr>
                <w:rFonts w:asciiTheme="majorBidi" w:hAnsiTheme="majorBidi" w:cstheme="majorBidi"/>
                <w:sz w:val="20"/>
                <w:szCs w:val="20"/>
              </w:rPr>
              <w:t>371</w:t>
            </w:r>
            <w:r w:rsidR="004777A7" w:rsidRPr="00E63031">
              <w:rPr>
                <w:rFonts w:asciiTheme="majorBidi" w:hAnsiTheme="majorBidi" w:cstheme="majorBidi"/>
                <w:sz w:val="20"/>
                <w:szCs w:val="20"/>
              </w:rPr>
              <w:t>.00</w:t>
            </w:r>
          </w:p>
        </w:tc>
      </w:tr>
      <w:tr w:rsidR="004F5400" w:rsidRPr="00E63031" w:rsidTr="00E63031">
        <w:tc>
          <w:tcPr>
            <w:tcW w:w="4503" w:type="dxa"/>
          </w:tcPr>
          <w:p w:rsidR="004F5400" w:rsidRPr="00E63031" w:rsidRDefault="00180262"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Intangible assets </w:t>
            </w:r>
          </w:p>
        </w:tc>
        <w:tc>
          <w:tcPr>
            <w:tcW w:w="708" w:type="dxa"/>
          </w:tcPr>
          <w:p w:rsidR="004F5400" w:rsidRPr="00E63031" w:rsidRDefault="00180262"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18</w:t>
            </w:r>
          </w:p>
        </w:tc>
        <w:tc>
          <w:tcPr>
            <w:tcW w:w="1701" w:type="dxa"/>
            <w:vAlign w:val="center"/>
          </w:tcPr>
          <w:p w:rsidR="004F5400"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1,125,</w:t>
            </w:r>
            <w:r w:rsidR="00180262" w:rsidRPr="00E63031">
              <w:rPr>
                <w:rFonts w:asciiTheme="majorBidi" w:hAnsiTheme="majorBidi" w:cstheme="majorBidi"/>
                <w:sz w:val="20"/>
                <w:szCs w:val="20"/>
              </w:rPr>
              <w:t>934</w:t>
            </w:r>
            <w:r w:rsidR="004777A7" w:rsidRPr="00E63031">
              <w:rPr>
                <w:rFonts w:asciiTheme="majorBidi" w:hAnsiTheme="majorBidi" w:cstheme="majorBidi"/>
                <w:sz w:val="20"/>
                <w:szCs w:val="20"/>
              </w:rPr>
              <w:t>.00</w:t>
            </w:r>
          </w:p>
        </w:tc>
        <w:tc>
          <w:tcPr>
            <w:tcW w:w="2664" w:type="dxa"/>
            <w:vAlign w:val="center"/>
          </w:tcPr>
          <w:p w:rsidR="004F5400" w:rsidRPr="00E63031" w:rsidRDefault="00D516BB"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1,217,</w:t>
            </w:r>
            <w:r w:rsidR="00180262" w:rsidRPr="00E63031">
              <w:rPr>
                <w:rFonts w:asciiTheme="majorBidi" w:hAnsiTheme="majorBidi" w:cstheme="majorBidi"/>
                <w:sz w:val="20"/>
                <w:szCs w:val="20"/>
              </w:rPr>
              <w:t>100</w:t>
            </w:r>
            <w:r w:rsidR="004777A7" w:rsidRPr="00E63031">
              <w:rPr>
                <w:rFonts w:asciiTheme="majorBidi" w:hAnsiTheme="majorBidi" w:cstheme="majorBidi"/>
                <w:sz w:val="20"/>
                <w:szCs w:val="20"/>
              </w:rPr>
              <w:t>.00</w:t>
            </w:r>
          </w:p>
        </w:tc>
      </w:tr>
      <w:tr w:rsidR="00180262" w:rsidRPr="00E63031" w:rsidTr="00E63031">
        <w:tc>
          <w:tcPr>
            <w:tcW w:w="4503" w:type="dxa"/>
          </w:tcPr>
          <w:p w:rsidR="00180262" w:rsidRPr="00E63031" w:rsidRDefault="00251036" w:rsidP="00E63031">
            <w:pPr>
              <w:spacing w:line="200" w:lineRule="exact"/>
              <w:rPr>
                <w:rFonts w:asciiTheme="majorBidi" w:hAnsiTheme="majorBidi" w:cstheme="majorBidi"/>
                <w:b/>
                <w:bCs/>
                <w:sz w:val="20"/>
                <w:szCs w:val="20"/>
              </w:rPr>
            </w:pPr>
            <w:r>
              <w:rPr>
                <w:rFonts w:asciiTheme="majorBidi" w:hAnsiTheme="majorBidi" w:cstheme="majorBidi"/>
                <w:b/>
                <w:bCs/>
                <w:sz w:val="20"/>
                <w:szCs w:val="20"/>
              </w:rPr>
              <w:t xml:space="preserve">Combined </w:t>
            </w:r>
            <w:r w:rsidR="00221DFA" w:rsidRPr="00E63031">
              <w:rPr>
                <w:rFonts w:asciiTheme="majorBidi" w:hAnsiTheme="majorBidi" w:cstheme="majorBidi"/>
                <w:b/>
                <w:bCs/>
                <w:sz w:val="20"/>
                <w:szCs w:val="20"/>
              </w:rPr>
              <w:t xml:space="preserve"> goodwill </w:t>
            </w:r>
          </w:p>
        </w:tc>
        <w:tc>
          <w:tcPr>
            <w:tcW w:w="708" w:type="dxa"/>
          </w:tcPr>
          <w:p w:rsidR="00180262" w:rsidRPr="00E63031" w:rsidRDefault="00221DFA"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19</w:t>
            </w:r>
          </w:p>
        </w:tc>
        <w:tc>
          <w:tcPr>
            <w:tcW w:w="1701" w:type="dxa"/>
            <w:vAlign w:val="center"/>
          </w:tcPr>
          <w:p w:rsidR="00180262" w:rsidRPr="00E63031" w:rsidRDefault="00221DFA"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199</w:t>
            </w:r>
            <w:r w:rsidR="004777A7" w:rsidRPr="00E63031">
              <w:rPr>
                <w:rFonts w:asciiTheme="majorBidi" w:hAnsiTheme="majorBidi" w:cstheme="majorBidi"/>
                <w:sz w:val="20"/>
                <w:szCs w:val="20"/>
              </w:rPr>
              <w:t>.00</w:t>
            </w:r>
          </w:p>
        </w:tc>
        <w:tc>
          <w:tcPr>
            <w:tcW w:w="2664" w:type="dxa"/>
            <w:vAlign w:val="center"/>
          </w:tcPr>
          <w:p w:rsidR="00180262" w:rsidRPr="00E63031" w:rsidRDefault="00221DFA"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199</w:t>
            </w:r>
            <w:r w:rsidR="004777A7" w:rsidRPr="00E63031">
              <w:rPr>
                <w:rFonts w:asciiTheme="majorBidi" w:hAnsiTheme="majorBidi" w:cstheme="majorBidi"/>
                <w:sz w:val="20"/>
                <w:szCs w:val="20"/>
              </w:rPr>
              <w:t>.00</w:t>
            </w:r>
          </w:p>
        </w:tc>
      </w:tr>
      <w:tr w:rsidR="00180262" w:rsidRPr="00E63031" w:rsidTr="00E63031">
        <w:tc>
          <w:tcPr>
            <w:tcW w:w="4503" w:type="dxa"/>
          </w:tcPr>
          <w:p w:rsidR="00180262" w:rsidRPr="00E63031" w:rsidRDefault="00221DFA"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Legal reserve </w:t>
            </w:r>
          </w:p>
        </w:tc>
        <w:tc>
          <w:tcPr>
            <w:tcW w:w="708" w:type="dxa"/>
          </w:tcPr>
          <w:p w:rsidR="00180262" w:rsidRPr="00E63031" w:rsidRDefault="00221DFA"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20</w:t>
            </w:r>
          </w:p>
        </w:tc>
        <w:tc>
          <w:tcPr>
            <w:tcW w:w="1701" w:type="dxa"/>
            <w:vAlign w:val="center"/>
          </w:tcPr>
          <w:p w:rsidR="00180262"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17,419,</w:t>
            </w:r>
            <w:r w:rsidR="00221DFA" w:rsidRPr="00E63031">
              <w:rPr>
                <w:rFonts w:asciiTheme="majorBidi" w:hAnsiTheme="majorBidi" w:cstheme="majorBidi"/>
                <w:sz w:val="20"/>
                <w:szCs w:val="20"/>
              </w:rPr>
              <w:t>240</w:t>
            </w:r>
            <w:r w:rsidR="004777A7" w:rsidRPr="00E63031">
              <w:rPr>
                <w:rFonts w:asciiTheme="majorBidi" w:hAnsiTheme="majorBidi" w:cstheme="majorBidi"/>
                <w:sz w:val="20"/>
                <w:szCs w:val="20"/>
              </w:rPr>
              <w:t>.00</w:t>
            </w:r>
          </w:p>
        </w:tc>
        <w:tc>
          <w:tcPr>
            <w:tcW w:w="2664" w:type="dxa"/>
            <w:vAlign w:val="center"/>
          </w:tcPr>
          <w:p w:rsidR="00180262" w:rsidRPr="00E63031" w:rsidRDefault="00D516BB"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10,451,</w:t>
            </w:r>
            <w:r w:rsidR="00221DFA" w:rsidRPr="00E63031">
              <w:rPr>
                <w:rFonts w:asciiTheme="majorBidi" w:hAnsiTheme="majorBidi" w:cstheme="majorBidi"/>
                <w:sz w:val="20"/>
                <w:szCs w:val="20"/>
              </w:rPr>
              <w:t>443</w:t>
            </w:r>
            <w:r w:rsidR="004777A7" w:rsidRPr="00E63031">
              <w:rPr>
                <w:rFonts w:asciiTheme="majorBidi" w:hAnsiTheme="majorBidi" w:cstheme="majorBidi"/>
                <w:sz w:val="20"/>
                <w:szCs w:val="20"/>
              </w:rPr>
              <w:t>.00</w:t>
            </w:r>
          </w:p>
        </w:tc>
      </w:tr>
      <w:tr w:rsidR="00180262" w:rsidRPr="00E63031" w:rsidTr="00E63031">
        <w:tc>
          <w:tcPr>
            <w:tcW w:w="4503" w:type="dxa"/>
          </w:tcPr>
          <w:p w:rsidR="00180262" w:rsidRPr="00E63031" w:rsidRDefault="00221DFA"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Other assets </w:t>
            </w:r>
          </w:p>
        </w:tc>
        <w:tc>
          <w:tcPr>
            <w:tcW w:w="708" w:type="dxa"/>
          </w:tcPr>
          <w:p w:rsidR="00180262" w:rsidRPr="00E63031" w:rsidRDefault="00221DFA"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21</w:t>
            </w:r>
          </w:p>
        </w:tc>
        <w:tc>
          <w:tcPr>
            <w:tcW w:w="1701" w:type="dxa"/>
            <w:vAlign w:val="center"/>
          </w:tcPr>
          <w:p w:rsidR="00180262"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37,878,</w:t>
            </w:r>
            <w:r w:rsidR="00221DFA" w:rsidRPr="00E63031">
              <w:rPr>
                <w:rFonts w:asciiTheme="majorBidi" w:hAnsiTheme="majorBidi" w:cstheme="majorBidi"/>
                <w:sz w:val="20"/>
                <w:szCs w:val="20"/>
              </w:rPr>
              <w:t>631</w:t>
            </w:r>
            <w:r w:rsidR="004777A7" w:rsidRPr="00E63031">
              <w:rPr>
                <w:rFonts w:asciiTheme="majorBidi" w:hAnsiTheme="majorBidi" w:cstheme="majorBidi"/>
                <w:sz w:val="20"/>
                <w:szCs w:val="20"/>
              </w:rPr>
              <w:t>.00</w:t>
            </w:r>
          </w:p>
        </w:tc>
        <w:tc>
          <w:tcPr>
            <w:tcW w:w="2664" w:type="dxa"/>
            <w:vAlign w:val="center"/>
          </w:tcPr>
          <w:p w:rsidR="00180262" w:rsidRPr="00E63031" w:rsidRDefault="008F580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2,179,5</w:t>
            </w:r>
            <w:r w:rsidR="00221DFA" w:rsidRPr="00E63031">
              <w:rPr>
                <w:rFonts w:asciiTheme="majorBidi" w:hAnsiTheme="majorBidi" w:cstheme="majorBidi"/>
                <w:sz w:val="20"/>
                <w:szCs w:val="20"/>
              </w:rPr>
              <w:t>07</w:t>
            </w:r>
            <w:r w:rsidR="004777A7" w:rsidRPr="00E63031">
              <w:rPr>
                <w:rFonts w:asciiTheme="majorBidi" w:hAnsiTheme="majorBidi" w:cstheme="majorBidi"/>
                <w:sz w:val="20"/>
                <w:szCs w:val="20"/>
              </w:rPr>
              <w:t>.00</w:t>
            </w:r>
          </w:p>
        </w:tc>
      </w:tr>
      <w:tr w:rsidR="00221DFA" w:rsidRPr="00E63031" w:rsidTr="00E63031">
        <w:tc>
          <w:tcPr>
            <w:tcW w:w="4503" w:type="dxa"/>
          </w:tcPr>
          <w:p w:rsidR="00221DFA" w:rsidRPr="00E63031" w:rsidRDefault="00221DFA"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Total of assets </w:t>
            </w:r>
          </w:p>
        </w:tc>
        <w:tc>
          <w:tcPr>
            <w:tcW w:w="2409" w:type="dxa"/>
            <w:gridSpan w:val="2"/>
            <w:vAlign w:val="center"/>
          </w:tcPr>
          <w:p w:rsidR="00221DFA" w:rsidRPr="00E63031" w:rsidRDefault="00EC3AF5"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190,618,</w:t>
            </w:r>
            <w:r w:rsidR="00221DFA" w:rsidRPr="00E63031">
              <w:rPr>
                <w:rFonts w:asciiTheme="majorBidi" w:hAnsiTheme="majorBidi" w:cstheme="majorBidi"/>
                <w:sz w:val="20"/>
                <w:szCs w:val="20"/>
              </w:rPr>
              <w:t>817</w:t>
            </w:r>
            <w:r w:rsidR="004777A7" w:rsidRPr="00E63031">
              <w:rPr>
                <w:rFonts w:asciiTheme="majorBidi" w:hAnsiTheme="majorBidi" w:cstheme="majorBidi"/>
                <w:sz w:val="20"/>
                <w:szCs w:val="20"/>
              </w:rPr>
              <w:t>.00</w:t>
            </w:r>
          </w:p>
        </w:tc>
        <w:tc>
          <w:tcPr>
            <w:tcW w:w="2664" w:type="dxa"/>
            <w:vAlign w:val="center"/>
          </w:tcPr>
          <w:p w:rsidR="00221DFA" w:rsidRPr="00E63031" w:rsidRDefault="00D516BB"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125,385,</w:t>
            </w:r>
            <w:r w:rsidR="00221DFA" w:rsidRPr="00E63031">
              <w:rPr>
                <w:rFonts w:asciiTheme="majorBidi" w:hAnsiTheme="majorBidi" w:cstheme="majorBidi"/>
                <w:sz w:val="20"/>
                <w:szCs w:val="20"/>
              </w:rPr>
              <w:t>376</w:t>
            </w:r>
            <w:r w:rsidR="004777A7" w:rsidRPr="00E63031">
              <w:rPr>
                <w:rFonts w:asciiTheme="majorBidi" w:hAnsiTheme="majorBidi" w:cstheme="majorBidi"/>
                <w:sz w:val="20"/>
                <w:szCs w:val="20"/>
              </w:rPr>
              <w:t>.00</w:t>
            </w:r>
          </w:p>
        </w:tc>
      </w:tr>
      <w:tr w:rsidR="00221DFA" w:rsidRPr="00E63031" w:rsidTr="00E63031">
        <w:tc>
          <w:tcPr>
            <w:tcW w:w="4503" w:type="dxa"/>
          </w:tcPr>
          <w:p w:rsidR="00221DFA" w:rsidRPr="00E63031" w:rsidRDefault="00D516BB"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Customers' obligations for issued warranties </w:t>
            </w:r>
          </w:p>
        </w:tc>
        <w:tc>
          <w:tcPr>
            <w:tcW w:w="708" w:type="dxa"/>
          </w:tcPr>
          <w:p w:rsidR="00221DFA" w:rsidRPr="00E63031" w:rsidRDefault="00D516BB"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51-1</w:t>
            </w:r>
          </w:p>
        </w:tc>
        <w:tc>
          <w:tcPr>
            <w:tcW w:w="1701" w:type="dxa"/>
            <w:vAlign w:val="center"/>
          </w:tcPr>
          <w:p w:rsidR="00221DFA" w:rsidRPr="00E63031" w:rsidRDefault="004777A7"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2,448,945.00</w:t>
            </w:r>
          </w:p>
        </w:tc>
        <w:tc>
          <w:tcPr>
            <w:tcW w:w="2664" w:type="dxa"/>
            <w:vAlign w:val="center"/>
          </w:tcPr>
          <w:p w:rsidR="00221DFA" w:rsidRPr="00E63031" w:rsidRDefault="004777A7"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3,796,141.00</w:t>
            </w:r>
          </w:p>
        </w:tc>
      </w:tr>
      <w:tr w:rsidR="00D516BB" w:rsidRPr="00E63031" w:rsidTr="00E63031">
        <w:tc>
          <w:tcPr>
            <w:tcW w:w="4503" w:type="dxa"/>
          </w:tcPr>
          <w:p w:rsidR="00D516BB" w:rsidRPr="00E63031" w:rsidRDefault="001F10D9"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Other customer obligations </w:t>
            </w:r>
          </w:p>
        </w:tc>
        <w:tc>
          <w:tcPr>
            <w:tcW w:w="708" w:type="dxa"/>
          </w:tcPr>
          <w:p w:rsidR="00D516BB" w:rsidRPr="00E63031" w:rsidRDefault="001F10D9"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51-2</w:t>
            </w:r>
          </w:p>
        </w:tc>
        <w:tc>
          <w:tcPr>
            <w:tcW w:w="1701" w:type="dxa"/>
            <w:vAlign w:val="center"/>
          </w:tcPr>
          <w:p w:rsidR="00D516BB" w:rsidRPr="00E63031" w:rsidRDefault="004777A7"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4,461,289.00</w:t>
            </w:r>
          </w:p>
        </w:tc>
        <w:tc>
          <w:tcPr>
            <w:tcW w:w="2664" w:type="dxa"/>
            <w:vAlign w:val="center"/>
          </w:tcPr>
          <w:p w:rsidR="00D516BB" w:rsidRPr="00E63031" w:rsidRDefault="004777A7"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3,287,119.00</w:t>
            </w:r>
          </w:p>
        </w:tc>
      </w:tr>
    </w:tbl>
    <w:p w:rsidR="00030E57" w:rsidRPr="00E63031" w:rsidRDefault="009162AB" w:rsidP="007E6592">
      <w:pPr>
        <w:spacing w:after="0" w:line="240" w:lineRule="auto"/>
        <w:jc w:val="both"/>
        <w:rPr>
          <w:rFonts w:asciiTheme="majorBidi" w:hAnsiTheme="majorBidi" w:cstheme="majorBidi"/>
          <w:b/>
          <w:bCs/>
          <w:sz w:val="4"/>
          <w:szCs w:val="4"/>
        </w:rPr>
      </w:pPr>
      <w:r w:rsidRPr="00E63031">
        <w:rPr>
          <w:rFonts w:asciiTheme="majorBidi" w:hAnsiTheme="majorBidi" w:cstheme="majorBidi"/>
          <w:b/>
          <w:bCs/>
          <w:sz w:val="4"/>
          <w:szCs w:val="4"/>
        </w:rPr>
        <w:t xml:space="preserve">                                            </w:t>
      </w:r>
    </w:p>
    <w:tbl>
      <w:tblPr>
        <w:tblStyle w:val="TableGrid"/>
        <w:tblW w:w="0" w:type="auto"/>
        <w:tblLayout w:type="fixed"/>
        <w:tblLook w:val="04A0" w:firstRow="1" w:lastRow="0" w:firstColumn="1" w:lastColumn="0" w:noHBand="0" w:noVBand="1"/>
      </w:tblPr>
      <w:tblGrid>
        <w:gridCol w:w="4786"/>
        <w:gridCol w:w="709"/>
        <w:gridCol w:w="1701"/>
        <w:gridCol w:w="2380"/>
      </w:tblGrid>
      <w:tr w:rsidR="00030E57" w:rsidRPr="00E63031" w:rsidTr="00BA78DD">
        <w:tc>
          <w:tcPr>
            <w:tcW w:w="4786" w:type="dxa"/>
            <w:vAlign w:val="center"/>
          </w:tcPr>
          <w:p w:rsidR="00030E57" w:rsidRPr="00E63031" w:rsidRDefault="00030E57" w:rsidP="00E63031">
            <w:pPr>
              <w:spacing w:line="200" w:lineRule="exact"/>
              <w:ind w:right="52"/>
              <w:jc w:val="center"/>
              <w:rPr>
                <w:rFonts w:asciiTheme="majorBidi" w:hAnsiTheme="majorBidi" w:cstheme="majorBidi"/>
                <w:b/>
                <w:bCs/>
                <w:sz w:val="20"/>
                <w:szCs w:val="20"/>
              </w:rPr>
            </w:pPr>
            <w:r w:rsidRPr="00E63031">
              <w:rPr>
                <w:rFonts w:asciiTheme="majorBidi" w:hAnsiTheme="majorBidi" w:cstheme="majorBidi"/>
                <w:b/>
                <w:bCs/>
                <w:sz w:val="20"/>
                <w:szCs w:val="20"/>
              </w:rPr>
              <w:t>Liabilities &amp;</w:t>
            </w:r>
            <w:r w:rsidR="00221DFA" w:rsidRPr="00E63031">
              <w:rPr>
                <w:rFonts w:asciiTheme="majorBidi" w:hAnsiTheme="majorBidi" w:cstheme="majorBidi"/>
                <w:b/>
                <w:bCs/>
                <w:sz w:val="20"/>
                <w:szCs w:val="20"/>
              </w:rPr>
              <w:t xml:space="preserve"> the </w:t>
            </w:r>
            <w:r w:rsidR="000B1E1A" w:rsidRPr="00E63031">
              <w:rPr>
                <w:rFonts w:asciiTheme="majorBidi" w:hAnsiTheme="majorBidi" w:cstheme="majorBidi"/>
                <w:b/>
                <w:bCs/>
                <w:sz w:val="20"/>
                <w:szCs w:val="20"/>
              </w:rPr>
              <w:t>salaries</w:t>
            </w:r>
            <w:r w:rsidR="00221DFA" w:rsidRPr="00E63031">
              <w:rPr>
                <w:rFonts w:asciiTheme="majorBidi" w:hAnsiTheme="majorBidi" w:cstheme="majorBidi"/>
                <w:b/>
                <w:bCs/>
                <w:sz w:val="20"/>
                <w:szCs w:val="20"/>
              </w:rPr>
              <w:t xml:space="preserve"> of </w:t>
            </w:r>
            <w:r w:rsidR="0014725A">
              <w:rPr>
                <w:rFonts w:asciiTheme="majorBidi" w:hAnsiTheme="majorBidi" w:cstheme="majorBidi"/>
                <w:b/>
                <w:bCs/>
                <w:sz w:val="20"/>
                <w:szCs w:val="20"/>
              </w:rPr>
              <w:t xml:space="preserve">the </w:t>
            </w:r>
            <w:r w:rsidR="00221DFA" w:rsidRPr="00E63031">
              <w:rPr>
                <w:rFonts w:asciiTheme="majorBidi" w:hAnsiTheme="majorBidi" w:cstheme="majorBidi"/>
                <w:b/>
                <w:bCs/>
                <w:sz w:val="20"/>
                <w:szCs w:val="20"/>
              </w:rPr>
              <w:t>owners of investment deposits and shareholders</w:t>
            </w:r>
          </w:p>
        </w:tc>
        <w:tc>
          <w:tcPr>
            <w:tcW w:w="709" w:type="dxa"/>
            <w:vAlign w:val="center"/>
          </w:tcPr>
          <w:p w:rsidR="00030E57" w:rsidRPr="00E63031" w:rsidRDefault="00030E57" w:rsidP="00E63031">
            <w:pPr>
              <w:spacing w:line="200" w:lineRule="exact"/>
              <w:jc w:val="center"/>
              <w:rPr>
                <w:rFonts w:asciiTheme="majorBidi" w:hAnsiTheme="majorBidi" w:cstheme="majorBidi"/>
                <w:b/>
                <w:bCs/>
                <w:sz w:val="20"/>
                <w:szCs w:val="20"/>
              </w:rPr>
            </w:pPr>
          </w:p>
        </w:tc>
        <w:tc>
          <w:tcPr>
            <w:tcW w:w="1701" w:type="dxa"/>
            <w:vAlign w:val="center"/>
          </w:tcPr>
          <w:p w:rsidR="008B4A79" w:rsidRPr="00E63031" w:rsidRDefault="008B4A79"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30.09.1395</w:t>
            </w:r>
          </w:p>
          <w:p w:rsidR="007E6592" w:rsidRPr="00E63031" w:rsidRDefault="008B4A79" w:rsidP="00E63031">
            <w:pPr>
              <w:spacing w:line="200" w:lineRule="exact"/>
              <w:ind w:left="-108" w:right="-108"/>
              <w:jc w:val="center"/>
              <w:rPr>
                <w:rFonts w:asciiTheme="majorBidi" w:hAnsiTheme="majorBidi" w:cstheme="majorBidi"/>
                <w:b/>
                <w:bCs/>
                <w:sz w:val="20"/>
                <w:szCs w:val="20"/>
                <w:lang w:bidi="fa-IR"/>
              </w:rPr>
            </w:pPr>
            <w:r w:rsidRPr="00E63031">
              <w:rPr>
                <w:rFonts w:asciiTheme="majorBidi" w:hAnsiTheme="majorBidi" w:cstheme="majorBidi"/>
                <w:b/>
                <w:bCs/>
                <w:sz w:val="20"/>
                <w:szCs w:val="20"/>
              </w:rPr>
              <w:t>(</w:t>
            </w:r>
            <w:r w:rsidR="007E6592" w:rsidRPr="00E63031">
              <w:rPr>
                <w:rFonts w:asciiTheme="majorBidi" w:hAnsiTheme="majorBidi" w:cstheme="majorBidi"/>
                <w:b/>
                <w:bCs/>
                <w:sz w:val="20"/>
                <w:szCs w:val="20"/>
              </w:rPr>
              <w:t>20.12.2016</w:t>
            </w:r>
            <w:r w:rsidRPr="00E63031">
              <w:rPr>
                <w:rFonts w:asciiTheme="majorBidi" w:hAnsiTheme="majorBidi" w:cstheme="majorBidi"/>
                <w:b/>
                <w:bCs/>
                <w:sz w:val="20"/>
                <w:szCs w:val="20"/>
              </w:rPr>
              <w:t>)</w:t>
            </w:r>
          </w:p>
        </w:tc>
        <w:tc>
          <w:tcPr>
            <w:tcW w:w="2380" w:type="dxa"/>
          </w:tcPr>
          <w:p w:rsidR="00A65967" w:rsidRPr="00E63031" w:rsidRDefault="000A3037" w:rsidP="00E63031">
            <w:pPr>
              <w:spacing w:line="200" w:lineRule="exact"/>
              <w:ind w:left="-113" w:right="-138"/>
              <w:jc w:val="center"/>
              <w:rPr>
                <w:rFonts w:asciiTheme="majorBidi" w:hAnsiTheme="majorBidi" w:cstheme="majorBidi"/>
                <w:b/>
                <w:bCs/>
                <w:sz w:val="20"/>
                <w:szCs w:val="20"/>
              </w:rPr>
            </w:pPr>
            <w:r w:rsidRPr="00E63031">
              <w:rPr>
                <w:rFonts w:asciiTheme="majorBidi" w:hAnsiTheme="majorBidi" w:cstheme="majorBidi"/>
                <w:b/>
                <w:bCs/>
                <w:sz w:val="20"/>
                <w:szCs w:val="20"/>
              </w:rPr>
              <w:t xml:space="preserve">Renewal presented </w:t>
            </w:r>
          </w:p>
          <w:p w:rsidR="000A3037" w:rsidRPr="00E63031" w:rsidRDefault="000A3037" w:rsidP="00E63031">
            <w:pPr>
              <w:spacing w:line="200" w:lineRule="exact"/>
              <w:ind w:left="-113" w:right="-138"/>
              <w:jc w:val="center"/>
              <w:rPr>
                <w:rFonts w:asciiTheme="majorBidi" w:hAnsiTheme="majorBidi" w:cstheme="majorBidi"/>
                <w:b/>
                <w:bCs/>
                <w:sz w:val="20"/>
                <w:szCs w:val="20"/>
              </w:rPr>
            </w:pPr>
            <w:r w:rsidRPr="00E63031">
              <w:rPr>
                <w:rFonts w:asciiTheme="majorBidi" w:hAnsiTheme="majorBidi" w:cstheme="majorBidi"/>
                <w:b/>
                <w:bCs/>
                <w:sz w:val="20"/>
                <w:szCs w:val="20"/>
              </w:rPr>
              <w:t>(re-presented)</w:t>
            </w:r>
          </w:p>
          <w:p w:rsidR="00030E57" w:rsidRPr="00E63031" w:rsidRDefault="008B4A79" w:rsidP="00E63031">
            <w:pPr>
              <w:spacing w:line="200" w:lineRule="exact"/>
              <w:ind w:left="-124" w:firstLine="124"/>
              <w:jc w:val="center"/>
              <w:rPr>
                <w:rFonts w:asciiTheme="majorBidi" w:hAnsiTheme="majorBidi" w:cstheme="majorBidi"/>
                <w:b/>
                <w:bCs/>
                <w:sz w:val="20"/>
                <w:szCs w:val="20"/>
              </w:rPr>
            </w:pPr>
            <w:r w:rsidRPr="00E63031">
              <w:rPr>
                <w:rFonts w:asciiTheme="majorBidi" w:hAnsiTheme="majorBidi" w:cstheme="majorBidi"/>
                <w:b/>
                <w:bCs/>
                <w:sz w:val="20"/>
                <w:szCs w:val="20"/>
              </w:rPr>
              <w:t>30.09.1394</w:t>
            </w:r>
            <w:r w:rsidR="00A65967" w:rsidRPr="00E63031">
              <w:rPr>
                <w:rFonts w:asciiTheme="majorBidi" w:hAnsiTheme="majorBidi" w:cstheme="majorBidi"/>
                <w:b/>
                <w:bCs/>
                <w:sz w:val="20"/>
                <w:szCs w:val="20"/>
              </w:rPr>
              <w:t xml:space="preserve"> </w:t>
            </w:r>
            <w:r w:rsidRPr="00E63031">
              <w:rPr>
                <w:rFonts w:asciiTheme="majorBidi" w:hAnsiTheme="majorBidi" w:cstheme="majorBidi"/>
                <w:b/>
                <w:bCs/>
                <w:sz w:val="20"/>
                <w:szCs w:val="20"/>
              </w:rPr>
              <w:t>(</w:t>
            </w:r>
            <w:r w:rsidR="007E6592" w:rsidRPr="00E63031">
              <w:rPr>
                <w:rFonts w:asciiTheme="majorBidi" w:hAnsiTheme="majorBidi" w:cstheme="majorBidi"/>
                <w:b/>
                <w:bCs/>
                <w:sz w:val="20"/>
                <w:szCs w:val="20"/>
              </w:rPr>
              <w:t>21.12.2015</w:t>
            </w:r>
            <w:r w:rsidRPr="00E63031">
              <w:rPr>
                <w:rFonts w:asciiTheme="majorBidi" w:hAnsiTheme="majorBidi" w:cstheme="majorBidi"/>
                <w:b/>
                <w:bCs/>
                <w:sz w:val="20"/>
                <w:szCs w:val="20"/>
              </w:rPr>
              <w:t>)</w:t>
            </w:r>
          </w:p>
        </w:tc>
      </w:tr>
      <w:tr w:rsidR="00030E57" w:rsidRPr="00E63031" w:rsidTr="00251036">
        <w:trPr>
          <w:trHeight w:val="180"/>
        </w:trPr>
        <w:tc>
          <w:tcPr>
            <w:tcW w:w="4786" w:type="dxa"/>
            <w:tcBorders>
              <w:bottom w:val="double" w:sz="4" w:space="0" w:color="auto"/>
            </w:tcBorders>
            <w:vAlign w:val="center"/>
          </w:tcPr>
          <w:p w:rsidR="00030E57" w:rsidRPr="00E63031" w:rsidRDefault="007E6592"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Liabilities</w:t>
            </w:r>
          </w:p>
        </w:tc>
        <w:tc>
          <w:tcPr>
            <w:tcW w:w="709" w:type="dxa"/>
            <w:tcBorders>
              <w:bottom w:val="double" w:sz="4" w:space="0" w:color="auto"/>
            </w:tcBorders>
          </w:tcPr>
          <w:p w:rsidR="00030E57" w:rsidRPr="00E63031" w:rsidRDefault="00030E57" w:rsidP="00E63031">
            <w:pPr>
              <w:spacing w:line="200" w:lineRule="exact"/>
              <w:jc w:val="center"/>
              <w:rPr>
                <w:rFonts w:asciiTheme="majorBidi" w:hAnsiTheme="majorBidi" w:cstheme="majorBidi"/>
                <w:b/>
                <w:bCs/>
                <w:sz w:val="20"/>
                <w:szCs w:val="20"/>
              </w:rPr>
            </w:pPr>
          </w:p>
        </w:tc>
        <w:tc>
          <w:tcPr>
            <w:tcW w:w="1701" w:type="dxa"/>
            <w:tcBorders>
              <w:bottom w:val="double" w:sz="4" w:space="0" w:color="auto"/>
            </w:tcBorders>
          </w:tcPr>
          <w:p w:rsidR="00030E57" w:rsidRPr="00E63031" w:rsidRDefault="008B4A79"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Million Rls.</w:t>
            </w:r>
          </w:p>
        </w:tc>
        <w:tc>
          <w:tcPr>
            <w:tcW w:w="2380" w:type="dxa"/>
            <w:tcBorders>
              <w:bottom w:val="double" w:sz="4" w:space="0" w:color="auto"/>
            </w:tcBorders>
            <w:vAlign w:val="center"/>
          </w:tcPr>
          <w:p w:rsidR="00030E57" w:rsidRPr="00E63031" w:rsidRDefault="008B4A79"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Million Rls.</w:t>
            </w:r>
          </w:p>
        </w:tc>
      </w:tr>
      <w:tr w:rsidR="00E805DF" w:rsidRPr="00E63031" w:rsidTr="00BA78DD">
        <w:tc>
          <w:tcPr>
            <w:tcW w:w="4786" w:type="dxa"/>
          </w:tcPr>
          <w:p w:rsidR="00E805DF" w:rsidRPr="00E63031" w:rsidRDefault="007E6592"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Liabilities to banks and other credit institutions </w:t>
            </w:r>
          </w:p>
        </w:tc>
        <w:tc>
          <w:tcPr>
            <w:tcW w:w="709" w:type="dxa"/>
            <w:vAlign w:val="center"/>
          </w:tcPr>
          <w:p w:rsidR="00E805DF" w:rsidRPr="00E63031" w:rsidRDefault="007E6592"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22</w:t>
            </w:r>
          </w:p>
        </w:tc>
        <w:tc>
          <w:tcPr>
            <w:tcW w:w="1701" w:type="dxa"/>
            <w:vAlign w:val="center"/>
          </w:tcPr>
          <w:p w:rsidR="00E805DF"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5,984,</w:t>
            </w:r>
            <w:r w:rsidR="007E6592" w:rsidRPr="00E63031">
              <w:rPr>
                <w:rFonts w:asciiTheme="majorBidi" w:hAnsiTheme="majorBidi" w:cstheme="majorBidi"/>
                <w:sz w:val="20"/>
                <w:szCs w:val="20"/>
              </w:rPr>
              <w:t>979</w:t>
            </w:r>
            <w:r w:rsidR="004777A7" w:rsidRPr="00E63031">
              <w:rPr>
                <w:rFonts w:asciiTheme="majorBidi" w:hAnsiTheme="majorBidi" w:cstheme="majorBidi"/>
                <w:sz w:val="20"/>
                <w:szCs w:val="20"/>
              </w:rPr>
              <w:t>.00</w:t>
            </w:r>
          </w:p>
        </w:tc>
        <w:tc>
          <w:tcPr>
            <w:tcW w:w="2380" w:type="dxa"/>
            <w:vAlign w:val="center"/>
          </w:tcPr>
          <w:p w:rsidR="00E805DF"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3,474,</w:t>
            </w:r>
            <w:r w:rsidR="007E6592" w:rsidRPr="00E63031">
              <w:rPr>
                <w:rFonts w:asciiTheme="majorBidi" w:hAnsiTheme="majorBidi" w:cstheme="majorBidi"/>
                <w:sz w:val="20"/>
                <w:szCs w:val="20"/>
              </w:rPr>
              <w:t>447</w:t>
            </w:r>
            <w:r w:rsidR="004777A7" w:rsidRPr="00E63031">
              <w:rPr>
                <w:rFonts w:asciiTheme="majorBidi" w:hAnsiTheme="majorBidi" w:cstheme="majorBidi"/>
                <w:sz w:val="20"/>
                <w:szCs w:val="20"/>
              </w:rPr>
              <w:t>.00</w:t>
            </w:r>
          </w:p>
        </w:tc>
      </w:tr>
      <w:tr w:rsidR="00E805DF" w:rsidRPr="00E63031" w:rsidTr="00BA78DD">
        <w:tc>
          <w:tcPr>
            <w:tcW w:w="4786" w:type="dxa"/>
          </w:tcPr>
          <w:p w:rsidR="00E805DF" w:rsidRPr="00E63031" w:rsidRDefault="007E6592"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 xml:space="preserve">Customer deposits </w:t>
            </w:r>
          </w:p>
        </w:tc>
        <w:tc>
          <w:tcPr>
            <w:tcW w:w="709" w:type="dxa"/>
          </w:tcPr>
          <w:p w:rsidR="00E805DF" w:rsidRPr="00E63031" w:rsidRDefault="007E6592"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23</w:t>
            </w:r>
          </w:p>
        </w:tc>
        <w:tc>
          <w:tcPr>
            <w:tcW w:w="1701" w:type="dxa"/>
            <w:vAlign w:val="center"/>
          </w:tcPr>
          <w:p w:rsidR="00E805DF"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4,607,</w:t>
            </w:r>
            <w:r w:rsidR="007E6592" w:rsidRPr="00E63031">
              <w:rPr>
                <w:rFonts w:asciiTheme="majorBidi" w:hAnsiTheme="majorBidi" w:cstheme="majorBidi"/>
                <w:sz w:val="20"/>
                <w:szCs w:val="20"/>
              </w:rPr>
              <w:t>221</w:t>
            </w:r>
            <w:r w:rsidR="004777A7" w:rsidRPr="00E63031">
              <w:rPr>
                <w:rFonts w:asciiTheme="majorBidi" w:hAnsiTheme="majorBidi" w:cstheme="majorBidi"/>
                <w:sz w:val="20"/>
                <w:szCs w:val="20"/>
              </w:rPr>
              <w:t>.00</w:t>
            </w:r>
          </w:p>
        </w:tc>
        <w:tc>
          <w:tcPr>
            <w:tcW w:w="2380" w:type="dxa"/>
            <w:vAlign w:val="center"/>
          </w:tcPr>
          <w:p w:rsidR="00E805DF"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841,</w:t>
            </w:r>
            <w:r w:rsidR="007E6592" w:rsidRPr="00E63031">
              <w:rPr>
                <w:rFonts w:asciiTheme="majorBidi" w:hAnsiTheme="majorBidi" w:cstheme="majorBidi"/>
                <w:sz w:val="20"/>
                <w:szCs w:val="20"/>
              </w:rPr>
              <w:t>844</w:t>
            </w:r>
            <w:r w:rsidR="004777A7" w:rsidRPr="00E63031">
              <w:rPr>
                <w:rFonts w:asciiTheme="majorBidi" w:hAnsiTheme="majorBidi" w:cstheme="majorBidi"/>
                <w:sz w:val="20"/>
                <w:szCs w:val="20"/>
              </w:rPr>
              <w:t>.00</w:t>
            </w:r>
          </w:p>
        </w:tc>
      </w:tr>
      <w:tr w:rsidR="000E43DC" w:rsidRPr="00E63031" w:rsidTr="00BA78DD">
        <w:tc>
          <w:tcPr>
            <w:tcW w:w="4786" w:type="dxa"/>
          </w:tcPr>
          <w:p w:rsidR="000E43DC" w:rsidRPr="00E63031" w:rsidRDefault="00286153" w:rsidP="00E63031">
            <w:pPr>
              <w:spacing w:line="200" w:lineRule="exact"/>
              <w:rPr>
                <w:rFonts w:asciiTheme="majorBidi" w:hAnsiTheme="majorBidi" w:cstheme="majorBidi"/>
                <w:b/>
                <w:bCs/>
                <w:sz w:val="20"/>
                <w:szCs w:val="20"/>
              </w:rPr>
            </w:pPr>
            <w:r w:rsidRPr="00E63031">
              <w:rPr>
                <w:rFonts w:asciiTheme="majorBidi" w:hAnsiTheme="majorBidi" w:cstheme="majorBidi"/>
                <w:b/>
                <w:bCs/>
                <w:sz w:val="20"/>
                <w:szCs w:val="20"/>
              </w:rPr>
              <w:t>Payable p</w:t>
            </w:r>
            <w:r w:rsidR="000E43DC" w:rsidRPr="00E63031">
              <w:rPr>
                <w:rFonts w:asciiTheme="majorBidi" w:hAnsiTheme="majorBidi" w:cstheme="majorBidi"/>
                <w:b/>
                <w:bCs/>
                <w:sz w:val="20"/>
                <w:szCs w:val="20"/>
              </w:rPr>
              <w:t xml:space="preserve">rofit of shares </w:t>
            </w:r>
          </w:p>
        </w:tc>
        <w:tc>
          <w:tcPr>
            <w:tcW w:w="709" w:type="dxa"/>
          </w:tcPr>
          <w:p w:rsidR="000E43DC" w:rsidRPr="00E63031" w:rsidRDefault="007E6592"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24</w:t>
            </w:r>
          </w:p>
        </w:tc>
        <w:tc>
          <w:tcPr>
            <w:tcW w:w="1701" w:type="dxa"/>
            <w:vAlign w:val="center"/>
          </w:tcPr>
          <w:p w:rsidR="000E43DC"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129,</w:t>
            </w:r>
            <w:r w:rsidR="007E6592" w:rsidRPr="00E63031">
              <w:rPr>
                <w:rFonts w:asciiTheme="majorBidi" w:hAnsiTheme="majorBidi" w:cstheme="majorBidi"/>
                <w:sz w:val="20"/>
                <w:szCs w:val="20"/>
              </w:rPr>
              <w:t>459</w:t>
            </w:r>
            <w:r w:rsidR="004777A7" w:rsidRPr="00E63031">
              <w:rPr>
                <w:rFonts w:asciiTheme="majorBidi" w:hAnsiTheme="majorBidi" w:cstheme="majorBidi"/>
                <w:sz w:val="20"/>
                <w:szCs w:val="20"/>
              </w:rPr>
              <w:t>.00</w:t>
            </w:r>
          </w:p>
        </w:tc>
        <w:tc>
          <w:tcPr>
            <w:tcW w:w="2380" w:type="dxa"/>
            <w:vAlign w:val="center"/>
          </w:tcPr>
          <w:p w:rsidR="000E43DC"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135,</w:t>
            </w:r>
            <w:r w:rsidR="007E6592" w:rsidRPr="00E63031">
              <w:rPr>
                <w:rFonts w:asciiTheme="majorBidi" w:hAnsiTheme="majorBidi" w:cstheme="majorBidi"/>
                <w:sz w:val="20"/>
                <w:szCs w:val="20"/>
              </w:rPr>
              <w:t>186</w:t>
            </w:r>
            <w:r w:rsidR="004777A7" w:rsidRPr="00E63031">
              <w:rPr>
                <w:rFonts w:asciiTheme="majorBidi" w:hAnsiTheme="majorBidi" w:cstheme="majorBidi"/>
                <w:sz w:val="20"/>
                <w:szCs w:val="20"/>
              </w:rPr>
              <w:t>.00</w:t>
            </w:r>
          </w:p>
        </w:tc>
      </w:tr>
      <w:tr w:rsidR="00E805DF" w:rsidRPr="00E63031" w:rsidTr="00BA78DD">
        <w:tc>
          <w:tcPr>
            <w:tcW w:w="4786" w:type="dxa"/>
          </w:tcPr>
          <w:p w:rsidR="00E805DF" w:rsidRPr="00E63031" w:rsidRDefault="00995178"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 xml:space="preserve">Performance tax reserve </w:t>
            </w:r>
          </w:p>
        </w:tc>
        <w:tc>
          <w:tcPr>
            <w:tcW w:w="709" w:type="dxa"/>
          </w:tcPr>
          <w:p w:rsidR="00E805DF" w:rsidRPr="00E63031" w:rsidRDefault="007E6592"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25</w:t>
            </w:r>
          </w:p>
        </w:tc>
        <w:tc>
          <w:tcPr>
            <w:tcW w:w="1701" w:type="dxa"/>
            <w:vAlign w:val="center"/>
          </w:tcPr>
          <w:p w:rsidR="00E805DF"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26,</w:t>
            </w:r>
            <w:r w:rsidR="007E6592" w:rsidRPr="00E63031">
              <w:rPr>
                <w:rFonts w:asciiTheme="majorBidi" w:hAnsiTheme="majorBidi" w:cstheme="majorBidi"/>
                <w:sz w:val="20"/>
                <w:szCs w:val="20"/>
              </w:rPr>
              <w:t>432</w:t>
            </w:r>
            <w:r w:rsidR="004777A7" w:rsidRPr="00E63031">
              <w:rPr>
                <w:rFonts w:asciiTheme="majorBidi" w:hAnsiTheme="majorBidi" w:cstheme="majorBidi"/>
                <w:sz w:val="20"/>
                <w:szCs w:val="20"/>
              </w:rPr>
              <w:t>.00</w:t>
            </w:r>
          </w:p>
        </w:tc>
        <w:tc>
          <w:tcPr>
            <w:tcW w:w="2380" w:type="dxa"/>
            <w:vAlign w:val="center"/>
          </w:tcPr>
          <w:p w:rsidR="00E805DF"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576,</w:t>
            </w:r>
            <w:r w:rsidR="007E6592" w:rsidRPr="00E63031">
              <w:rPr>
                <w:rFonts w:asciiTheme="majorBidi" w:hAnsiTheme="majorBidi" w:cstheme="majorBidi"/>
                <w:sz w:val="20"/>
                <w:szCs w:val="20"/>
              </w:rPr>
              <w:t>805</w:t>
            </w:r>
            <w:r w:rsidR="004777A7" w:rsidRPr="00E63031">
              <w:rPr>
                <w:rFonts w:asciiTheme="majorBidi" w:hAnsiTheme="majorBidi" w:cstheme="majorBidi"/>
                <w:sz w:val="20"/>
                <w:szCs w:val="20"/>
              </w:rPr>
              <w:t>.00</w:t>
            </w:r>
          </w:p>
        </w:tc>
      </w:tr>
      <w:tr w:rsidR="007E6592" w:rsidRPr="00E63031" w:rsidTr="00BA78DD">
        <w:tc>
          <w:tcPr>
            <w:tcW w:w="4786" w:type="dxa"/>
          </w:tcPr>
          <w:p w:rsidR="007E6592" w:rsidRPr="00E63031" w:rsidRDefault="007E6592"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rPr>
              <w:t xml:space="preserve">Reserves and other liabilities  </w:t>
            </w:r>
          </w:p>
        </w:tc>
        <w:tc>
          <w:tcPr>
            <w:tcW w:w="709" w:type="dxa"/>
          </w:tcPr>
          <w:p w:rsidR="007E6592" w:rsidRPr="00E63031" w:rsidRDefault="002A2E94"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26</w:t>
            </w:r>
          </w:p>
        </w:tc>
        <w:tc>
          <w:tcPr>
            <w:tcW w:w="1701" w:type="dxa"/>
            <w:vAlign w:val="center"/>
          </w:tcPr>
          <w:p w:rsidR="007E6592"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8,235,</w:t>
            </w:r>
            <w:r w:rsidR="002A2E94" w:rsidRPr="00E63031">
              <w:rPr>
                <w:rFonts w:asciiTheme="majorBidi" w:hAnsiTheme="majorBidi" w:cstheme="majorBidi"/>
                <w:sz w:val="20"/>
                <w:szCs w:val="20"/>
              </w:rPr>
              <w:t>872</w:t>
            </w:r>
            <w:r w:rsidR="004777A7" w:rsidRPr="00E63031">
              <w:rPr>
                <w:rFonts w:asciiTheme="majorBidi" w:hAnsiTheme="majorBidi" w:cstheme="majorBidi"/>
                <w:sz w:val="20"/>
                <w:szCs w:val="20"/>
              </w:rPr>
              <w:t>.00</w:t>
            </w:r>
          </w:p>
        </w:tc>
        <w:tc>
          <w:tcPr>
            <w:tcW w:w="2380" w:type="dxa"/>
            <w:vAlign w:val="center"/>
          </w:tcPr>
          <w:p w:rsidR="007E6592"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11,169,</w:t>
            </w:r>
            <w:r w:rsidR="002A2E94" w:rsidRPr="00E63031">
              <w:rPr>
                <w:rFonts w:asciiTheme="majorBidi" w:hAnsiTheme="majorBidi" w:cstheme="majorBidi"/>
                <w:sz w:val="20"/>
                <w:szCs w:val="20"/>
              </w:rPr>
              <w:t>368</w:t>
            </w:r>
            <w:r w:rsidR="004777A7" w:rsidRPr="00E63031">
              <w:rPr>
                <w:rFonts w:asciiTheme="majorBidi" w:hAnsiTheme="majorBidi" w:cstheme="majorBidi"/>
                <w:sz w:val="20"/>
                <w:szCs w:val="20"/>
              </w:rPr>
              <w:t>.00</w:t>
            </w:r>
          </w:p>
        </w:tc>
      </w:tr>
      <w:tr w:rsidR="007E6592" w:rsidRPr="00E63031" w:rsidTr="00BA78DD">
        <w:tc>
          <w:tcPr>
            <w:tcW w:w="4786" w:type="dxa"/>
          </w:tcPr>
          <w:p w:rsidR="007E6592" w:rsidRPr="00E63031" w:rsidRDefault="00884CC1"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rPr>
              <w:t>Reserve on the benefits of the s</w:t>
            </w:r>
            <w:r w:rsidR="002A2E94" w:rsidRPr="00E63031">
              <w:rPr>
                <w:rFonts w:asciiTheme="majorBidi" w:hAnsiTheme="majorBidi" w:cstheme="majorBidi"/>
                <w:b/>
                <w:bCs/>
                <w:sz w:val="20"/>
                <w:szCs w:val="20"/>
              </w:rPr>
              <w:t xml:space="preserve">taff’s </w:t>
            </w:r>
            <w:r w:rsidR="00605F7A" w:rsidRPr="00E63031">
              <w:rPr>
                <w:rFonts w:asciiTheme="majorBidi" w:hAnsiTheme="majorBidi" w:cstheme="majorBidi"/>
                <w:b/>
                <w:bCs/>
                <w:sz w:val="20"/>
                <w:szCs w:val="20"/>
              </w:rPr>
              <w:t>end</w:t>
            </w:r>
            <w:r w:rsidRPr="00E63031">
              <w:rPr>
                <w:rFonts w:asciiTheme="majorBidi" w:hAnsiTheme="majorBidi" w:cstheme="majorBidi"/>
                <w:b/>
                <w:bCs/>
                <w:sz w:val="20"/>
                <w:szCs w:val="20"/>
              </w:rPr>
              <w:t xml:space="preserve"> of s</w:t>
            </w:r>
            <w:r w:rsidR="002A2E94" w:rsidRPr="00E63031">
              <w:rPr>
                <w:rFonts w:asciiTheme="majorBidi" w:hAnsiTheme="majorBidi" w:cstheme="majorBidi"/>
                <w:b/>
                <w:bCs/>
                <w:sz w:val="20"/>
                <w:szCs w:val="20"/>
              </w:rPr>
              <w:t>ervice</w:t>
            </w:r>
          </w:p>
        </w:tc>
        <w:tc>
          <w:tcPr>
            <w:tcW w:w="709" w:type="dxa"/>
          </w:tcPr>
          <w:p w:rsidR="007E6592" w:rsidRPr="00E63031" w:rsidRDefault="002A2E94"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27</w:t>
            </w:r>
          </w:p>
        </w:tc>
        <w:tc>
          <w:tcPr>
            <w:tcW w:w="1701" w:type="dxa"/>
            <w:vAlign w:val="center"/>
          </w:tcPr>
          <w:p w:rsidR="007E6592"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75,</w:t>
            </w:r>
            <w:r w:rsidR="00934887" w:rsidRPr="00E63031">
              <w:rPr>
                <w:rFonts w:asciiTheme="majorBidi" w:hAnsiTheme="majorBidi" w:cstheme="majorBidi"/>
                <w:sz w:val="20"/>
                <w:szCs w:val="20"/>
              </w:rPr>
              <w:t>112</w:t>
            </w:r>
            <w:r w:rsidR="004777A7" w:rsidRPr="00E63031">
              <w:rPr>
                <w:rFonts w:asciiTheme="majorBidi" w:hAnsiTheme="majorBidi" w:cstheme="majorBidi"/>
                <w:sz w:val="20"/>
                <w:szCs w:val="20"/>
              </w:rPr>
              <w:t>.00</w:t>
            </w:r>
          </w:p>
        </w:tc>
        <w:tc>
          <w:tcPr>
            <w:tcW w:w="2380" w:type="dxa"/>
            <w:vAlign w:val="center"/>
          </w:tcPr>
          <w:p w:rsidR="007E6592"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43,</w:t>
            </w:r>
            <w:r w:rsidR="00934887" w:rsidRPr="00E63031">
              <w:rPr>
                <w:rFonts w:asciiTheme="majorBidi" w:hAnsiTheme="majorBidi" w:cstheme="majorBidi"/>
                <w:sz w:val="20"/>
                <w:szCs w:val="20"/>
              </w:rPr>
              <w:t>458</w:t>
            </w:r>
            <w:r w:rsidR="004777A7" w:rsidRPr="00E63031">
              <w:rPr>
                <w:rFonts w:asciiTheme="majorBidi" w:hAnsiTheme="majorBidi" w:cstheme="majorBidi"/>
                <w:sz w:val="20"/>
                <w:szCs w:val="20"/>
              </w:rPr>
              <w:t>.00</w:t>
            </w:r>
          </w:p>
        </w:tc>
      </w:tr>
      <w:tr w:rsidR="00934887" w:rsidRPr="00E63031" w:rsidTr="00BA78DD">
        <w:tc>
          <w:tcPr>
            <w:tcW w:w="4786" w:type="dxa"/>
          </w:tcPr>
          <w:p w:rsidR="00934887" w:rsidRPr="00E63031" w:rsidRDefault="00934887"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 xml:space="preserve">Total liabilities </w:t>
            </w:r>
          </w:p>
        </w:tc>
        <w:tc>
          <w:tcPr>
            <w:tcW w:w="2410" w:type="dxa"/>
            <w:gridSpan w:val="2"/>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19,059,</w:t>
            </w:r>
            <w:r w:rsidR="00934887" w:rsidRPr="00E63031">
              <w:rPr>
                <w:rFonts w:asciiTheme="majorBidi" w:hAnsiTheme="majorBidi" w:cstheme="majorBidi"/>
                <w:sz w:val="20"/>
                <w:szCs w:val="20"/>
              </w:rPr>
              <w:t>074</w:t>
            </w:r>
            <w:r w:rsidR="004777A7" w:rsidRPr="00E63031">
              <w:rPr>
                <w:rFonts w:asciiTheme="majorBidi" w:hAnsiTheme="majorBidi" w:cstheme="majorBidi"/>
                <w:sz w:val="20"/>
                <w:szCs w:val="20"/>
              </w:rPr>
              <w:t>.00</w:t>
            </w:r>
          </w:p>
        </w:tc>
        <w:tc>
          <w:tcPr>
            <w:tcW w:w="2380"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16,241,</w:t>
            </w:r>
            <w:r w:rsidR="00934887" w:rsidRPr="00E63031">
              <w:rPr>
                <w:rFonts w:asciiTheme="majorBidi" w:hAnsiTheme="majorBidi" w:cstheme="majorBidi"/>
                <w:sz w:val="20"/>
                <w:szCs w:val="20"/>
              </w:rPr>
              <w:t>108</w:t>
            </w:r>
            <w:r w:rsidR="004777A7" w:rsidRPr="00E63031">
              <w:rPr>
                <w:rFonts w:asciiTheme="majorBidi" w:hAnsiTheme="majorBidi" w:cstheme="majorBidi"/>
                <w:sz w:val="20"/>
                <w:szCs w:val="20"/>
              </w:rPr>
              <w:t>.00</w:t>
            </w:r>
          </w:p>
        </w:tc>
      </w:tr>
      <w:tr w:rsidR="00934887" w:rsidRPr="00E63031" w:rsidTr="00E63031">
        <w:tc>
          <w:tcPr>
            <w:tcW w:w="9576" w:type="dxa"/>
            <w:gridSpan w:val="4"/>
            <w:vAlign w:val="center"/>
          </w:tcPr>
          <w:p w:rsidR="00934887" w:rsidRPr="00E63031" w:rsidRDefault="00605F7A" w:rsidP="00E63031">
            <w:pPr>
              <w:spacing w:line="200" w:lineRule="exact"/>
              <w:jc w:val="center"/>
              <w:rPr>
                <w:rFonts w:asciiTheme="majorBidi" w:hAnsiTheme="majorBidi" w:cstheme="majorBidi"/>
                <w:b/>
                <w:bCs/>
                <w:sz w:val="20"/>
                <w:szCs w:val="20"/>
              </w:rPr>
            </w:pPr>
            <w:r w:rsidRPr="00E63031">
              <w:rPr>
                <w:rFonts w:asciiTheme="majorBidi" w:hAnsiTheme="majorBidi" w:cstheme="majorBidi"/>
                <w:b/>
                <w:bCs/>
                <w:sz w:val="20"/>
                <w:szCs w:val="20"/>
              </w:rPr>
              <w:t>Salaries</w:t>
            </w:r>
            <w:r w:rsidR="00FF39B3" w:rsidRPr="00E63031">
              <w:rPr>
                <w:rFonts w:asciiTheme="majorBidi" w:hAnsiTheme="majorBidi" w:cstheme="majorBidi"/>
                <w:b/>
                <w:bCs/>
                <w:sz w:val="20"/>
                <w:szCs w:val="20"/>
              </w:rPr>
              <w:t xml:space="preserve"> o</w:t>
            </w:r>
            <w:r w:rsidR="00934887" w:rsidRPr="00E63031">
              <w:rPr>
                <w:rFonts w:asciiTheme="majorBidi" w:hAnsiTheme="majorBidi" w:cstheme="majorBidi"/>
                <w:b/>
                <w:bCs/>
                <w:sz w:val="20"/>
                <w:szCs w:val="20"/>
              </w:rPr>
              <w:t xml:space="preserve">f </w:t>
            </w:r>
            <w:r w:rsidRPr="00E63031">
              <w:rPr>
                <w:rFonts w:asciiTheme="majorBidi" w:hAnsiTheme="majorBidi" w:cstheme="majorBidi"/>
                <w:b/>
                <w:bCs/>
                <w:sz w:val="20"/>
                <w:szCs w:val="20"/>
              </w:rPr>
              <w:t>the owners of investment deposits</w:t>
            </w:r>
          </w:p>
        </w:tc>
      </w:tr>
      <w:tr w:rsidR="002A2E94" w:rsidRPr="00E63031" w:rsidTr="00BA78DD">
        <w:tc>
          <w:tcPr>
            <w:tcW w:w="4786" w:type="dxa"/>
          </w:tcPr>
          <w:p w:rsidR="002A2E94" w:rsidRPr="00E63031" w:rsidRDefault="00934887"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Term</w:t>
            </w:r>
            <w:r w:rsidR="00605F7A" w:rsidRPr="00E63031">
              <w:rPr>
                <w:rFonts w:asciiTheme="majorBidi" w:hAnsiTheme="majorBidi" w:cstheme="majorBidi"/>
                <w:b/>
                <w:bCs/>
                <w:sz w:val="20"/>
                <w:szCs w:val="20"/>
                <w:lang w:bidi="fa-IR"/>
              </w:rPr>
              <w:t>ed</w:t>
            </w:r>
            <w:r w:rsidRPr="00E63031">
              <w:rPr>
                <w:rFonts w:asciiTheme="majorBidi" w:hAnsiTheme="majorBidi" w:cstheme="majorBidi"/>
                <w:b/>
                <w:bCs/>
                <w:sz w:val="20"/>
                <w:szCs w:val="20"/>
                <w:lang w:bidi="fa-IR"/>
              </w:rPr>
              <w:t xml:space="preserve"> investment deposits </w:t>
            </w:r>
          </w:p>
        </w:tc>
        <w:tc>
          <w:tcPr>
            <w:tcW w:w="709" w:type="dxa"/>
          </w:tcPr>
          <w:p w:rsidR="002A2E94" w:rsidRPr="00E63031" w:rsidRDefault="00934887"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28</w:t>
            </w:r>
          </w:p>
        </w:tc>
        <w:tc>
          <w:tcPr>
            <w:tcW w:w="1701" w:type="dxa"/>
            <w:vAlign w:val="center"/>
          </w:tcPr>
          <w:p w:rsidR="002A2E94"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162,413,</w:t>
            </w:r>
            <w:r w:rsidR="00934887" w:rsidRPr="00E63031">
              <w:rPr>
                <w:rFonts w:asciiTheme="majorBidi" w:hAnsiTheme="majorBidi" w:cstheme="majorBidi"/>
                <w:sz w:val="20"/>
                <w:szCs w:val="20"/>
              </w:rPr>
              <w:t>640</w:t>
            </w:r>
            <w:r w:rsidR="004777A7" w:rsidRPr="00E63031">
              <w:rPr>
                <w:rFonts w:asciiTheme="majorBidi" w:hAnsiTheme="majorBidi" w:cstheme="majorBidi"/>
                <w:sz w:val="20"/>
                <w:szCs w:val="20"/>
              </w:rPr>
              <w:t>.00</w:t>
            </w:r>
          </w:p>
        </w:tc>
        <w:tc>
          <w:tcPr>
            <w:tcW w:w="2380" w:type="dxa"/>
            <w:vAlign w:val="center"/>
          </w:tcPr>
          <w:p w:rsidR="002A2E94"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101,639,</w:t>
            </w:r>
            <w:r w:rsidR="00934887" w:rsidRPr="00E63031">
              <w:rPr>
                <w:rFonts w:asciiTheme="majorBidi" w:hAnsiTheme="majorBidi" w:cstheme="majorBidi"/>
                <w:sz w:val="20"/>
                <w:szCs w:val="20"/>
              </w:rPr>
              <w:t>209</w:t>
            </w:r>
            <w:r w:rsidR="004777A7" w:rsidRPr="00E63031">
              <w:rPr>
                <w:rFonts w:asciiTheme="majorBidi" w:hAnsiTheme="majorBidi" w:cstheme="majorBidi"/>
                <w:sz w:val="20"/>
                <w:szCs w:val="20"/>
              </w:rPr>
              <w:t>.00</w:t>
            </w:r>
          </w:p>
        </w:tc>
      </w:tr>
      <w:tr w:rsidR="002A2E94" w:rsidRPr="00E63031" w:rsidTr="00BA78DD">
        <w:tc>
          <w:tcPr>
            <w:tcW w:w="4786" w:type="dxa"/>
          </w:tcPr>
          <w:p w:rsidR="002A2E94" w:rsidRPr="00E63031" w:rsidRDefault="00F64726"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Payable profit of term</w:t>
            </w:r>
            <w:r w:rsidR="0021081E" w:rsidRPr="00E63031">
              <w:rPr>
                <w:rFonts w:asciiTheme="majorBidi" w:hAnsiTheme="majorBidi" w:cstheme="majorBidi"/>
                <w:b/>
                <w:bCs/>
                <w:sz w:val="20"/>
                <w:szCs w:val="20"/>
                <w:lang w:bidi="fa-IR"/>
              </w:rPr>
              <w:t>ed</w:t>
            </w:r>
            <w:r w:rsidRPr="00E63031">
              <w:rPr>
                <w:rFonts w:asciiTheme="majorBidi" w:hAnsiTheme="majorBidi" w:cstheme="majorBidi"/>
                <w:b/>
                <w:bCs/>
                <w:sz w:val="20"/>
                <w:szCs w:val="20"/>
                <w:lang w:bidi="fa-IR"/>
              </w:rPr>
              <w:t xml:space="preserve"> investment deposits </w:t>
            </w:r>
          </w:p>
        </w:tc>
        <w:tc>
          <w:tcPr>
            <w:tcW w:w="709" w:type="dxa"/>
          </w:tcPr>
          <w:p w:rsidR="002A2E94" w:rsidRPr="00E63031" w:rsidRDefault="00F64726"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29</w:t>
            </w:r>
          </w:p>
        </w:tc>
        <w:tc>
          <w:tcPr>
            <w:tcW w:w="1701" w:type="dxa"/>
            <w:vAlign w:val="center"/>
          </w:tcPr>
          <w:p w:rsidR="002A2E94"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1,125,</w:t>
            </w:r>
            <w:r w:rsidR="00F64726" w:rsidRPr="00E63031">
              <w:rPr>
                <w:rFonts w:asciiTheme="majorBidi" w:hAnsiTheme="majorBidi" w:cstheme="majorBidi"/>
                <w:sz w:val="20"/>
                <w:szCs w:val="20"/>
              </w:rPr>
              <w:t>609</w:t>
            </w:r>
            <w:r w:rsidR="004777A7" w:rsidRPr="00E63031">
              <w:rPr>
                <w:rFonts w:asciiTheme="majorBidi" w:hAnsiTheme="majorBidi" w:cstheme="majorBidi"/>
                <w:sz w:val="20"/>
                <w:szCs w:val="20"/>
              </w:rPr>
              <w:t>.00</w:t>
            </w:r>
          </w:p>
        </w:tc>
        <w:tc>
          <w:tcPr>
            <w:tcW w:w="2380" w:type="dxa"/>
            <w:vAlign w:val="center"/>
          </w:tcPr>
          <w:p w:rsidR="002A2E94"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872,</w:t>
            </w:r>
            <w:r w:rsidR="00F64726" w:rsidRPr="00E63031">
              <w:rPr>
                <w:rFonts w:asciiTheme="majorBidi" w:hAnsiTheme="majorBidi" w:cstheme="majorBidi"/>
                <w:sz w:val="20"/>
                <w:szCs w:val="20"/>
              </w:rPr>
              <w:t>346</w:t>
            </w:r>
            <w:r w:rsidR="004777A7" w:rsidRPr="00E63031">
              <w:rPr>
                <w:rFonts w:asciiTheme="majorBidi" w:hAnsiTheme="majorBidi" w:cstheme="majorBidi"/>
                <w:sz w:val="20"/>
                <w:szCs w:val="20"/>
              </w:rPr>
              <w:t>.00</w:t>
            </w:r>
          </w:p>
        </w:tc>
      </w:tr>
      <w:tr w:rsidR="00934887" w:rsidRPr="00E63031" w:rsidTr="00BA78DD">
        <w:tc>
          <w:tcPr>
            <w:tcW w:w="4786" w:type="dxa"/>
          </w:tcPr>
          <w:p w:rsidR="00934887" w:rsidRPr="00E63031" w:rsidRDefault="00F64726"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 xml:space="preserve">Total </w:t>
            </w:r>
            <w:r w:rsidR="00FF39B3" w:rsidRPr="00E63031">
              <w:rPr>
                <w:rFonts w:asciiTheme="majorBidi" w:hAnsiTheme="majorBidi" w:cstheme="majorBidi"/>
                <w:b/>
                <w:bCs/>
                <w:sz w:val="20"/>
                <w:szCs w:val="20"/>
                <w:lang w:bidi="fa-IR"/>
              </w:rPr>
              <w:t>salary</w:t>
            </w:r>
            <w:r w:rsidRPr="00E63031">
              <w:rPr>
                <w:rFonts w:asciiTheme="majorBidi" w:hAnsiTheme="majorBidi" w:cstheme="majorBidi"/>
                <w:b/>
                <w:bCs/>
                <w:sz w:val="20"/>
                <w:szCs w:val="20"/>
                <w:lang w:bidi="fa-IR"/>
              </w:rPr>
              <w:t xml:space="preserve"> of deposit investors </w:t>
            </w:r>
          </w:p>
        </w:tc>
        <w:tc>
          <w:tcPr>
            <w:tcW w:w="709" w:type="dxa"/>
          </w:tcPr>
          <w:p w:rsidR="00934887" w:rsidRPr="00E63031" w:rsidRDefault="00934887" w:rsidP="00E63031">
            <w:pPr>
              <w:spacing w:line="200" w:lineRule="exact"/>
              <w:jc w:val="center"/>
              <w:rPr>
                <w:rFonts w:asciiTheme="majorBidi" w:hAnsiTheme="majorBidi" w:cstheme="majorBidi"/>
                <w:sz w:val="20"/>
                <w:szCs w:val="20"/>
              </w:rPr>
            </w:pPr>
          </w:p>
        </w:tc>
        <w:tc>
          <w:tcPr>
            <w:tcW w:w="1701"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163,539,</w:t>
            </w:r>
            <w:r w:rsidR="0095521A" w:rsidRPr="00E63031">
              <w:rPr>
                <w:rFonts w:asciiTheme="majorBidi" w:hAnsiTheme="majorBidi" w:cstheme="majorBidi"/>
                <w:sz w:val="20"/>
                <w:szCs w:val="20"/>
              </w:rPr>
              <w:t>249</w:t>
            </w:r>
            <w:r w:rsidR="004777A7" w:rsidRPr="00E63031">
              <w:rPr>
                <w:rFonts w:asciiTheme="majorBidi" w:hAnsiTheme="majorBidi" w:cstheme="majorBidi"/>
                <w:sz w:val="20"/>
                <w:szCs w:val="20"/>
              </w:rPr>
              <w:t>.00</w:t>
            </w:r>
          </w:p>
        </w:tc>
        <w:tc>
          <w:tcPr>
            <w:tcW w:w="2380"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102,511,</w:t>
            </w:r>
            <w:r w:rsidR="0095521A" w:rsidRPr="00E63031">
              <w:rPr>
                <w:rFonts w:asciiTheme="majorBidi" w:hAnsiTheme="majorBidi" w:cstheme="majorBidi"/>
                <w:sz w:val="20"/>
                <w:szCs w:val="20"/>
              </w:rPr>
              <w:t>555</w:t>
            </w:r>
            <w:r w:rsidR="004777A7" w:rsidRPr="00E63031">
              <w:rPr>
                <w:rFonts w:asciiTheme="majorBidi" w:hAnsiTheme="majorBidi" w:cstheme="majorBidi"/>
                <w:sz w:val="20"/>
                <w:szCs w:val="20"/>
              </w:rPr>
              <w:t>.00</w:t>
            </w:r>
          </w:p>
        </w:tc>
      </w:tr>
      <w:tr w:rsidR="00934887" w:rsidRPr="00E63031" w:rsidTr="00BA78DD">
        <w:tc>
          <w:tcPr>
            <w:tcW w:w="4786" w:type="dxa"/>
          </w:tcPr>
          <w:p w:rsidR="00934887" w:rsidRPr="00E63031" w:rsidRDefault="0095521A"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 xml:space="preserve">Total of </w:t>
            </w:r>
            <w:r w:rsidRPr="00E63031">
              <w:rPr>
                <w:rFonts w:asciiTheme="majorBidi" w:hAnsiTheme="majorBidi" w:cstheme="majorBidi"/>
                <w:b/>
                <w:bCs/>
                <w:sz w:val="20"/>
                <w:szCs w:val="20"/>
              </w:rPr>
              <w:t xml:space="preserve">Liabilities &amp; the </w:t>
            </w:r>
            <w:r w:rsidR="0021081E" w:rsidRPr="00E63031">
              <w:rPr>
                <w:rFonts w:asciiTheme="majorBidi" w:hAnsiTheme="majorBidi" w:cstheme="majorBidi"/>
                <w:b/>
                <w:bCs/>
                <w:sz w:val="20"/>
                <w:szCs w:val="20"/>
              </w:rPr>
              <w:t>salaries</w:t>
            </w:r>
            <w:r w:rsidRPr="00E63031">
              <w:rPr>
                <w:rFonts w:asciiTheme="majorBidi" w:hAnsiTheme="majorBidi" w:cstheme="majorBidi"/>
                <w:b/>
                <w:bCs/>
                <w:sz w:val="20"/>
                <w:szCs w:val="20"/>
              </w:rPr>
              <w:t xml:space="preserve"> of owners of </w:t>
            </w:r>
            <w:r w:rsidR="00637E31" w:rsidRPr="00E63031">
              <w:rPr>
                <w:rFonts w:asciiTheme="majorBidi" w:hAnsiTheme="majorBidi" w:cstheme="majorBidi"/>
                <w:b/>
                <w:bCs/>
                <w:sz w:val="20"/>
                <w:szCs w:val="20"/>
              </w:rPr>
              <w:t xml:space="preserve">the </w:t>
            </w:r>
            <w:r w:rsidRPr="00E63031">
              <w:rPr>
                <w:rFonts w:asciiTheme="majorBidi" w:hAnsiTheme="majorBidi" w:cstheme="majorBidi"/>
                <w:b/>
                <w:bCs/>
                <w:sz w:val="20"/>
                <w:szCs w:val="20"/>
              </w:rPr>
              <w:t xml:space="preserve">investment deposits and shareholders  </w:t>
            </w:r>
          </w:p>
        </w:tc>
        <w:tc>
          <w:tcPr>
            <w:tcW w:w="709" w:type="dxa"/>
          </w:tcPr>
          <w:p w:rsidR="00934887" w:rsidRPr="00E63031" w:rsidRDefault="00934887" w:rsidP="00E63031">
            <w:pPr>
              <w:spacing w:line="200" w:lineRule="exact"/>
              <w:jc w:val="center"/>
              <w:rPr>
                <w:rFonts w:asciiTheme="majorBidi" w:hAnsiTheme="majorBidi" w:cstheme="majorBidi"/>
                <w:sz w:val="20"/>
                <w:szCs w:val="20"/>
              </w:rPr>
            </w:pPr>
          </w:p>
        </w:tc>
        <w:tc>
          <w:tcPr>
            <w:tcW w:w="1701"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182,598,</w:t>
            </w:r>
            <w:r w:rsidR="0095521A" w:rsidRPr="00E63031">
              <w:rPr>
                <w:rFonts w:asciiTheme="majorBidi" w:hAnsiTheme="majorBidi" w:cstheme="majorBidi"/>
                <w:sz w:val="20"/>
                <w:szCs w:val="20"/>
              </w:rPr>
              <w:t>324</w:t>
            </w:r>
            <w:r w:rsidR="004777A7" w:rsidRPr="00E63031">
              <w:rPr>
                <w:rFonts w:asciiTheme="majorBidi" w:hAnsiTheme="majorBidi" w:cstheme="majorBidi"/>
                <w:sz w:val="20"/>
                <w:szCs w:val="20"/>
              </w:rPr>
              <w:t>.00</w:t>
            </w:r>
          </w:p>
        </w:tc>
        <w:tc>
          <w:tcPr>
            <w:tcW w:w="2380"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118,752,</w:t>
            </w:r>
            <w:r w:rsidR="0095521A" w:rsidRPr="00E63031">
              <w:rPr>
                <w:rFonts w:asciiTheme="majorBidi" w:hAnsiTheme="majorBidi" w:cstheme="majorBidi"/>
                <w:sz w:val="20"/>
                <w:szCs w:val="20"/>
              </w:rPr>
              <w:t>663</w:t>
            </w:r>
            <w:r w:rsidR="004777A7" w:rsidRPr="00E63031">
              <w:rPr>
                <w:rFonts w:asciiTheme="majorBidi" w:hAnsiTheme="majorBidi" w:cstheme="majorBidi"/>
                <w:sz w:val="20"/>
                <w:szCs w:val="20"/>
              </w:rPr>
              <w:t>.00</w:t>
            </w:r>
          </w:p>
        </w:tc>
      </w:tr>
      <w:tr w:rsidR="00934887" w:rsidRPr="00E63031" w:rsidTr="00251036">
        <w:tc>
          <w:tcPr>
            <w:tcW w:w="4786" w:type="dxa"/>
          </w:tcPr>
          <w:p w:rsidR="00934887" w:rsidRPr="00E63031" w:rsidRDefault="0095521A"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 xml:space="preserve">Asset </w:t>
            </w:r>
          </w:p>
        </w:tc>
        <w:tc>
          <w:tcPr>
            <w:tcW w:w="709" w:type="dxa"/>
          </w:tcPr>
          <w:p w:rsidR="00934887" w:rsidRPr="00E63031" w:rsidRDefault="0095521A"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30</w:t>
            </w:r>
          </w:p>
        </w:tc>
        <w:tc>
          <w:tcPr>
            <w:tcW w:w="1701"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6,000,</w:t>
            </w:r>
            <w:r w:rsidR="0095521A" w:rsidRPr="00E63031">
              <w:rPr>
                <w:rFonts w:asciiTheme="majorBidi" w:hAnsiTheme="majorBidi" w:cstheme="majorBidi"/>
                <w:sz w:val="20"/>
                <w:szCs w:val="20"/>
              </w:rPr>
              <w:t>000</w:t>
            </w:r>
            <w:r w:rsidR="004777A7" w:rsidRPr="00E63031">
              <w:rPr>
                <w:rFonts w:asciiTheme="majorBidi" w:hAnsiTheme="majorBidi" w:cstheme="majorBidi"/>
                <w:sz w:val="20"/>
                <w:szCs w:val="20"/>
              </w:rPr>
              <w:t>.00</w:t>
            </w:r>
          </w:p>
        </w:tc>
        <w:tc>
          <w:tcPr>
            <w:tcW w:w="2380" w:type="dxa"/>
            <w:vAlign w:val="center"/>
          </w:tcPr>
          <w:p w:rsidR="00934887" w:rsidRPr="00E63031" w:rsidRDefault="00B5257D" w:rsidP="00251036">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6,000,</w:t>
            </w:r>
            <w:r w:rsidR="0095521A" w:rsidRPr="00E63031">
              <w:rPr>
                <w:rFonts w:asciiTheme="majorBidi" w:hAnsiTheme="majorBidi" w:cstheme="majorBidi"/>
                <w:sz w:val="20"/>
                <w:szCs w:val="20"/>
              </w:rPr>
              <w:t>000</w:t>
            </w:r>
            <w:r w:rsidR="004777A7" w:rsidRPr="00E63031">
              <w:rPr>
                <w:rFonts w:asciiTheme="majorBidi" w:hAnsiTheme="majorBidi" w:cstheme="majorBidi"/>
                <w:sz w:val="20"/>
                <w:szCs w:val="20"/>
              </w:rPr>
              <w:t>.00</w:t>
            </w:r>
          </w:p>
        </w:tc>
      </w:tr>
      <w:tr w:rsidR="00934887" w:rsidRPr="00E63031" w:rsidTr="00251036">
        <w:tc>
          <w:tcPr>
            <w:tcW w:w="4786" w:type="dxa"/>
          </w:tcPr>
          <w:p w:rsidR="00934887" w:rsidRPr="00E63031" w:rsidRDefault="0095521A"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 xml:space="preserve">Legal reserve </w:t>
            </w:r>
          </w:p>
        </w:tc>
        <w:tc>
          <w:tcPr>
            <w:tcW w:w="709" w:type="dxa"/>
          </w:tcPr>
          <w:p w:rsidR="00934887" w:rsidRPr="00E63031" w:rsidRDefault="0095521A"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31</w:t>
            </w:r>
          </w:p>
        </w:tc>
        <w:tc>
          <w:tcPr>
            <w:tcW w:w="1701"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355,</w:t>
            </w:r>
            <w:r w:rsidR="0095521A" w:rsidRPr="00E63031">
              <w:rPr>
                <w:rFonts w:asciiTheme="majorBidi" w:hAnsiTheme="majorBidi" w:cstheme="majorBidi"/>
                <w:sz w:val="20"/>
                <w:szCs w:val="20"/>
              </w:rPr>
              <w:t>351</w:t>
            </w:r>
            <w:r w:rsidR="004777A7" w:rsidRPr="00E63031">
              <w:rPr>
                <w:rFonts w:asciiTheme="majorBidi" w:hAnsiTheme="majorBidi" w:cstheme="majorBidi"/>
                <w:sz w:val="20"/>
                <w:szCs w:val="20"/>
              </w:rPr>
              <w:t>.00</w:t>
            </w:r>
          </w:p>
        </w:tc>
        <w:tc>
          <w:tcPr>
            <w:tcW w:w="2380" w:type="dxa"/>
            <w:vAlign w:val="center"/>
          </w:tcPr>
          <w:p w:rsidR="00934887" w:rsidRPr="00E63031" w:rsidRDefault="00B5257D" w:rsidP="00251036">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288,</w:t>
            </w:r>
            <w:r w:rsidR="0095521A" w:rsidRPr="00E63031">
              <w:rPr>
                <w:rFonts w:asciiTheme="majorBidi" w:hAnsiTheme="majorBidi" w:cstheme="majorBidi"/>
                <w:sz w:val="20"/>
                <w:szCs w:val="20"/>
              </w:rPr>
              <w:t>362</w:t>
            </w:r>
            <w:r w:rsidR="004777A7" w:rsidRPr="00E63031">
              <w:rPr>
                <w:rFonts w:asciiTheme="majorBidi" w:hAnsiTheme="majorBidi" w:cstheme="majorBidi"/>
                <w:sz w:val="20"/>
                <w:szCs w:val="20"/>
              </w:rPr>
              <w:t>.00</w:t>
            </w:r>
          </w:p>
        </w:tc>
      </w:tr>
      <w:tr w:rsidR="00934887" w:rsidRPr="00E63031" w:rsidTr="00251036">
        <w:tc>
          <w:tcPr>
            <w:tcW w:w="4786" w:type="dxa"/>
          </w:tcPr>
          <w:p w:rsidR="00934887" w:rsidRPr="00E63031" w:rsidRDefault="00C264F9" w:rsidP="00E63031">
            <w:pPr>
              <w:spacing w:line="200" w:lineRule="exact"/>
              <w:rPr>
                <w:rFonts w:asciiTheme="majorBidi" w:hAnsiTheme="majorBidi" w:cstheme="majorBidi"/>
                <w:b/>
                <w:bCs/>
                <w:sz w:val="20"/>
                <w:szCs w:val="20"/>
                <w:rtl/>
                <w:lang w:bidi="fa-IR"/>
              </w:rPr>
            </w:pPr>
            <w:r>
              <w:rPr>
                <w:rFonts w:asciiTheme="majorBidi" w:hAnsiTheme="majorBidi" w:cstheme="majorBidi"/>
                <w:b/>
                <w:bCs/>
                <w:sz w:val="20"/>
                <w:szCs w:val="20"/>
                <w:lang w:bidi="fa-IR"/>
              </w:rPr>
              <w:t>Acc</w:t>
            </w:r>
            <w:r w:rsidR="0095521A" w:rsidRPr="00E63031">
              <w:rPr>
                <w:rFonts w:asciiTheme="majorBidi" w:hAnsiTheme="majorBidi" w:cstheme="majorBidi"/>
                <w:b/>
                <w:bCs/>
                <w:sz w:val="20"/>
                <w:szCs w:val="20"/>
                <w:lang w:bidi="fa-IR"/>
              </w:rPr>
              <w:t>umulated profit (loss)</w:t>
            </w:r>
          </w:p>
        </w:tc>
        <w:tc>
          <w:tcPr>
            <w:tcW w:w="709" w:type="dxa"/>
          </w:tcPr>
          <w:p w:rsidR="00934887" w:rsidRPr="00E63031" w:rsidRDefault="00934887" w:rsidP="00E63031">
            <w:pPr>
              <w:spacing w:line="200" w:lineRule="exact"/>
              <w:jc w:val="center"/>
              <w:rPr>
                <w:rFonts w:asciiTheme="majorBidi" w:hAnsiTheme="majorBidi" w:cstheme="majorBidi"/>
                <w:sz w:val="20"/>
                <w:szCs w:val="20"/>
              </w:rPr>
            </w:pPr>
          </w:p>
        </w:tc>
        <w:tc>
          <w:tcPr>
            <w:tcW w:w="1701"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132,</w:t>
            </w:r>
            <w:r w:rsidR="00A51065" w:rsidRPr="00E63031">
              <w:rPr>
                <w:rFonts w:asciiTheme="majorBidi" w:hAnsiTheme="majorBidi" w:cstheme="majorBidi"/>
                <w:sz w:val="20"/>
                <w:szCs w:val="20"/>
              </w:rPr>
              <w:t>092</w:t>
            </w:r>
            <w:r w:rsidR="004777A7" w:rsidRPr="00E63031">
              <w:rPr>
                <w:rFonts w:asciiTheme="majorBidi" w:hAnsiTheme="majorBidi" w:cstheme="majorBidi"/>
                <w:sz w:val="20"/>
                <w:szCs w:val="20"/>
              </w:rPr>
              <w:t>.00</w:t>
            </w:r>
          </w:p>
        </w:tc>
        <w:tc>
          <w:tcPr>
            <w:tcW w:w="2380" w:type="dxa"/>
            <w:vAlign w:val="center"/>
          </w:tcPr>
          <w:p w:rsidR="00934887" w:rsidRPr="00E63031" w:rsidRDefault="00B5257D" w:rsidP="00251036">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(549,</w:t>
            </w:r>
            <w:r w:rsidR="00A51065" w:rsidRPr="00E63031">
              <w:rPr>
                <w:rFonts w:asciiTheme="majorBidi" w:hAnsiTheme="majorBidi" w:cstheme="majorBidi"/>
                <w:sz w:val="20"/>
                <w:szCs w:val="20"/>
              </w:rPr>
              <w:t>181</w:t>
            </w:r>
            <w:r w:rsidR="004777A7" w:rsidRPr="00E63031">
              <w:rPr>
                <w:rFonts w:asciiTheme="majorBidi" w:hAnsiTheme="majorBidi" w:cstheme="majorBidi"/>
                <w:sz w:val="20"/>
                <w:szCs w:val="20"/>
              </w:rPr>
              <w:t>.00</w:t>
            </w:r>
            <w:r w:rsidR="00A51065" w:rsidRPr="00E63031">
              <w:rPr>
                <w:rFonts w:asciiTheme="majorBidi" w:hAnsiTheme="majorBidi" w:cstheme="majorBidi"/>
                <w:sz w:val="20"/>
                <w:szCs w:val="20"/>
              </w:rPr>
              <w:t>)</w:t>
            </w:r>
          </w:p>
        </w:tc>
      </w:tr>
      <w:tr w:rsidR="00934887" w:rsidRPr="00E63031" w:rsidTr="00251036">
        <w:tc>
          <w:tcPr>
            <w:tcW w:w="4786" w:type="dxa"/>
          </w:tcPr>
          <w:p w:rsidR="00934887" w:rsidRPr="00E63031" w:rsidRDefault="00FF39B3" w:rsidP="007502C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 xml:space="preserve">Total </w:t>
            </w:r>
            <w:r w:rsidR="007502C1">
              <w:rPr>
                <w:rFonts w:asciiTheme="majorBidi" w:hAnsiTheme="majorBidi" w:cstheme="majorBidi"/>
                <w:b/>
                <w:bCs/>
                <w:sz w:val="20"/>
                <w:szCs w:val="20"/>
                <w:lang w:bidi="fa-IR"/>
              </w:rPr>
              <w:t>salaries</w:t>
            </w:r>
            <w:r w:rsidRPr="00E63031">
              <w:rPr>
                <w:rFonts w:asciiTheme="majorBidi" w:hAnsiTheme="majorBidi" w:cstheme="majorBidi"/>
                <w:b/>
                <w:bCs/>
                <w:sz w:val="20"/>
                <w:szCs w:val="20"/>
                <w:lang w:bidi="fa-IR"/>
              </w:rPr>
              <w:t xml:space="preserve"> attributable to the shareholders' of the principal company </w:t>
            </w:r>
          </w:p>
        </w:tc>
        <w:tc>
          <w:tcPr>
            <w:tcW w:w="709" w:type="dxa"/>
          </w:tcPr>
          <w:p w:rsidR="00934887" w:rsidRPr="00E63031" w:rsidRDefault="00934887" w:rsidP="00E63031">
            <w:pPr>
              <w:spacing w:line="200" w:lineRule="exact"/>
              <w:jc w:val="center"/>
              <w:rPr>
                <w:rFonts w:asciiTheme="majorBidi" w:hAnsiTheme="majorBidi" w:cstheme="majorBidi"/>
                <w:sz w:val="20"/>
                <w:szCs w:val="20"/>
              </w:rPr>
            </w:pPr>
          </w:p>
        </w:tc>
        <w:tc>
          <w:tcPr>
            <w:tcW w:w="1701"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6,487,</w:t>
            </w:r>
            <w:r w:rsidR="00A51065" w:rsidRPr="00E63031">
              <w:rPr>
                <w:rFonts w:asciiTheme="majorBidi" w:hAnsiTheme="majorBidi" w:cstheme="majorBidi"/>
                <w:sz w:val="20"/>
                <w:szCs w:val="20"/>
              </w:rPr>
              <w:t>443</w:t>
            </w:r>
            <w:r w:rsidR="004777A7" w:rsidRPr="00E63031">
              <w:rPr>
                <w:rFonts w:asciiTheme="majorBidi" w:hAnsiTheme="majorBidi" w:cstheme="majorBidi"/>
                <w:sz w:val="20"/>
                <w:szCs w:val="20"/>
              </w:rPr>
              <w:t>.00</w:t>
            </w:r>
          </w:p>
        </w:tc>
        <w:tc>
          <w:tcPr>
            <w:tcW w:w="2380" w:type="dxa"/>
            <w:vAlign w:val="center"/>
          </w:tcPr>
          <w:p w:rsidR="00934887" w:rsidRPr="00E63031" w:rsidRDefault="00B5257D" w:rsidP="00251036">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5,739,</w:t>
            </w:r>
            <w:r w:rsidR="00A51065" w:rsidRPr="00E63031">
              <w:rPr>
                <w:rFonts w:asciiTheme="majorBidi" w:hAnsiTheme="majorBidi" w:cstheme="majorBidi"/>
                <w:sz w:val="20"/>
                <w:szCs w:val="20"/>
              </w:rPr>
              <w:t>181</w:t>
            </w:r>
            <w:r w:rsidR="004777A7" w:rsidRPr="00E63031">
              <w:rPr>
                <w:rFonts w:asciiTheme="majorBidi" w:hAnsiTheme="majorBidi" w:cstheme="majorBidi"/>
                <w:sz w:val="20"/>
                <w:szCs w:val="20"/>
              </w:rPr>
              <w:t>.00</w:t>
            </w:r>
          </w:p>
        </w:tc>
      </w:tr>
      <w:tr w:rsidR="00934887" w:rsidRPr="00E63031" w:rsidTr="00251036">
        <w:tc>
          <w:tcPr>
            <w:tcW w:w="4786" w:type="dxa"/>
          </w:tcPr>
          <w:p w:rsidR="00934887" w:rsidRPr="00E63031" w:rsidRDefault="00FF39B3"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 xml:space="preserve">Minority share </w:t>
            </w:r>
          </w:p>
        </w:tc>
        <w:tc>
          <w:tcPr>
            <w:tcW w:w="709" w:type="dxa"/>
          </w:tcPr>
          <w:p w:rsidR="00934887" w:rsidRPr="00E63031" w:rsidRDefault="00A51065"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32</w:t>
            </w:r>
          </w:p>
        </w:tc>
        <w:tc>
          <w:tcPr>
            <w:tcW w:w="1701"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1,533,</w:t>
            </w:r>
            <w:r w:rsidR="00A51065" w:rsidRPr="00E63031">
              <w:rPr>
                <w:rFonts w:asciiTheme="majorBidi" w:hAnsiTheme="majorBidi" w:cstheme="majorBidi"/>
                <w:sz w:val="20"/>
                <w:szCs w:val="20"/>
              </w:rPr>
              <w:t>050</w:t>
            </w:r>
            <w:r w:rsidR="004777A7" w:rsidRPr="00E63031">
              <w:rPr>
                <w:rFonts w:asciiTheme="majorBidi" w:hAnsiTheme="majorBidi" w:cstheme="majorBidi"/>
                <w:sz w:val="20"/>
                <w:szCs w:val="20"/>
              </w:rPr>
              <w:t>.00</w:t>
            </w:r>
          </w:p>
        </w:tc>
        <w:tc>
          <w:tcPr>
            <w:tcW w:w="2380" w:type="dxa"/>
            <w:vAlign w:val="center"/>
          </w:tcPr>
          <w:p w:rsidR="00934887" w:rsidRPr="00E63031" w:rsidRDefault="00B5257D" w:rsidP="00251036">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893,</w:t>
            </w:r>
            <w:r w:rsidR="00A51065" w:rsidRPr="00E63031">
              <w:rPr>
                <w:rFonts w:asciiTheme="majorBidi" w:hAnsiTheme="majorBidi" w:cstheme="majorBidi"/>
                <w:sz w:val="20"/>
                <w:szCs w:val="20"/>
              </w:rPr>
              <w:t>532</w:t>
            </w:r>
            <w:r w:rsidR="004777A7" w:rsidRPr="00E63031">
              <w:rPr>
                <w:rFonts w:asciiTheme="majorBidi" w:hAnsiTheme="majorBidi" w:cstheme="majorBidi"/>
                <w:sz w:val="20"/>
                <w:szCs w:val="20"/>
              </w:rPr>
              <w:t>.00</w:t>
            </w:r>
          </w:p>
        </w:tc>
      </w:tr>
      <w:tr w:rsidR="00934887" w:rsidRPr="00E63031" w:rsidTr="00251036">
        <w:tc>
          <w:tcPr>
            <w:tcW w:w="4786" w:type="dxa"/>
          </w:tcPr>
          <w:p w:rsidR="00934887" w:rsidRPr="00E63031" w:rsidRDefault="00637E31"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Total salaries</w:t>
            </w:r>
            <w:r w:rsidR="00FF39B3" w:rsidRPr="00E63031">
              <w:rPr>
                <w:rFonts w:asciiTheme="majorBidi" w:hAnsiTheme="majorBidi" w:cstheme="majorBidi"/>
                <w:b/>
                <w:bCs/>
                <w:sz w:val="20"/>
                <w:szCs w:val="20"/>
                <w:lang w:bidi="fa-IR"/>
              </w:rPr>
              <w:t xml:space="preserve"> of shareholders </w:t>
            </w:r>
          </w:p>
        </w:tc>
        <w:tc>
          <w:tcPr>
            <w:tcW w:w="709" w:type="dxa"/>
          </w:tcPr>
          <w:p w:rsidR="00934887" w:rsidRPr="00E63031" w:rsidRDefault="00934887" w:rsidP="00E63031">
            <w:pPr>
              <w:spacing w:line="200" w:lineRule="exact"/>
              <w:jc w:val="center"/>
              <w:rPr>
                <w:rFonts w:asciiTheme="majorBidi" w:hAnsiTheme="majorBidi" w:cstheme="majorBidi"/>
                <w:sz w:val="20"/>
                <w:szCs w:val="20"/>
              </w:rPr>
            </w:pPr>
          </w:p>
        </w:tc>
        <w:tc>
          <w:tcPr>
            <w:tcW w:w="1701" w:type="dxa"/>
            <w:vAlign w:val="center"/>
          </w:tcPr>
          <w:p w:rsidR="00934887" w:rsidRPr="00E63031" w:rsidRDefault="00B5257D"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8,020,</w:t>
            </w:r>
            <w:r w:rsidR="00A51065" w:rsidRPr="00E63031">
              <w:rPr>
                <w:rFonts w:asciiTheme="majorBidi" w:hAnsiTheme="majorBidi" w:cstheme="majorBidi"/>
                <w:sz w:val="20"/>
                <w:szCs w:val="20"/>
              </w:rPr>
              <w:t>493</w:t>
            </w:r>
            <w:r w:rsidR="004777A7" w:rsidRPr="00E63031">
              <w:rPr>
                <w:rFonts w:asciiTheme="majorBidi" w:hAnsiTheme="majorBidi" w:cstheme="majorBidi"/>
                <w:sz w:val="20"/>
                <w:szCs w:val="20"/>
              </w:rPr>
              <w:t>.00</w:t>
            </w:r>
          </w:p>
        </w:tc>
        <w:tc>
          <w:tcPr>
            <w:tcW w:w="2380" w:type="dxa"/>
            <w:vAlign w:val="center"/>
          </w:tcPr>
          <w:p w:rsidR="00934887" w:rsidRPr="00E63031" w:rsidRDefault="00B5257D" w:rsidP="00251036">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6,632,</w:t>
            </w:r>
            <w:r w:rsidR="00A51065" w:rsidRPr="00E63031">
              <w:rPr>
                <w:rFonts w:asciiTheme="majorBidi" w:hAnsiTheme="majorBidi" w:cstheme="majorBidi"/>
                <w:sz w:val="20"/>
                <w:szCs w:val="20"/>
              </w:rPr>
              <w:t>713</w:t>
            </w:r>
            <w:r w:rsidR="004777A7" w:rsidRPr="00E63031">
              <w:rPr>
                <w:rFonts w:asciiTheme="majorBidi" w:hAnsiTheme="majorBidi" w:cstheme="majorBidi"/>
                <w:sz w:val="20"/>
                <w:szCs w:val="20"/>
              </w:rPr>
              <w:t>.00</w:t>
            </w:r>
          </w:p>
        </w:tc>
      </w:tr>
      <w:tr w:rsidR="00A51065" w:rsidRPr="00E63031" w:rsidTr="00251036">
        <w:tc>
          <w:tcPr>
            <w:tcW w:w="4786" w:type="dxa"/>
          </w:tcPr>
          <w:p w:rsidR="00A51065" w:rsidRPr="00E63031" w:rsidRDefault="00CB0342" w:rsidP="00E63031">
            <w:pPr>
              <w:spacing w:line="200" w:lineRule="exact"/>
              <w:rPr>
                <w:rFonts w:asciiTheme="majorBidi" w:hAnsiTheme="majorBidi" w:cstheme="majorBidi"/>
                <w:b/>
                <w:bCs/>
                <w:sz w:val="20"/>
                <w:szCs w:val="20"/>
                <w:rtl/>
                <w:lang w:bidi="fa-IR"/>
              </w:rPr>
            </w:pPr>
            <w:r w:rsidRPr="00E63031">
              <w:rPr>
                <w:rFonts w:asciiTheme="majorBidi" w:hAnsiTheme="majorBidi" w:cstheme="majorBidi"/>
                <w:b/>
                <w:bCs/>
                <w:sz w:val="20"/>
                <w:szCs w:val="20"/>
                <w:lang w:bidi="fa-IR"/>
              </w:rPr>
              <w:t xml:space="preserve">Total of </w:t>
            </w:r>
            <w:r w:rsidRPr="00E63031">
              <w:rPr>
                <w:rFonts w:asciiTheme="majorBidi" w:hAnsiTheme="majorBidi" w:cstheme="majorBidi"/>
                <w:b/>
                <w:bCs/>
                <w:sz w:val="20"/>
                <w:szCs w:val="20"/>
              </w:rPr>
              <w:t xml:space="preserve">Liabilities &amp; the rights of </w:t>
            </w:r>
            <w:r w:rsidR="00637E31" w:rsidRPr="00E63031">
              <w:rPr>
                <w:rFonts w:asciiTheme="majorBidi" w:hAnsiTheme="majorBidi" w:cstheme="majorBidi"/>
                <w:b/>
                <w:bCs/>
                <w:sz w:val="20"/>
                <w:szCs w:val="20"/>
              </w:rPr>
              <w:t xml:space="preserve">the </w:t>
            </w:r>
            <w:r w:rsidRPr="00E63031">
              <w:rPr>
                <w:rFonts w:asciiTheme="majorBidi" w:hAnsiTheme="majorBidi" w:cstheme="majorBidi"/>
                <w:b/>
                <w:bCs/>
                <w:sz w:val="20"/>
                <w:szCs w:val="20"/>
              </w:rPr>
              <w:t xml:space="preserve">owners of investment deposits and shareholders  </w:t>
            </w:r>
          </w:p>
        </w:tc>
        <w:tc>
          <w:tcPr>
            <w:tcW w:w="709" w:type="dxa"/>
          </w:tcPr>
          <w:p w:rsidR="00A51065" w:rsidRPr="00E63031" w:rsidRDefault="00A51065" w:rsidP="00E63031">
            <w:pPr>
              <w:spacing w:line="200" w:lineRule="exact"/>
              <w:jc w:val="center"/>
              <w:rPr>
                <w:rFonts w:asciiTheme="majorBidi" w:hAnsiTheme="majorBidi" w:cstheme="majorBidi"/>
                <w:sz w:val="20"/>
                <w:szCs w:val="20"/>
              </w:rPr>
            </w:pPr>
          </w:p>
        </w:tc>
        <w:tc>
          <w:tcPr>
            <w:tcW w:w="1701" w:type="dxa"/>
            <w:vAlign w:val="center"/>
          </w:tcPr>
          <w:p w:rsidR="00A51065" w:rsidRPr="00E63031" w:rsidRDefault="007E7C4F"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190,618,</w:t>
            </w:r>
            <w:r w:rsidR="00CB0342" w:rsidRPr="00E63031">
              <w:rPr>
                <w:rFonts w:asciiTheme="majorBidi" w:hAnsiTheme="majorBidi" w:cstheme="majorBidi"/>
                <w:sz w:val="20"/>
                <w:szCs w:val="20"/>
              </w:rPr>
              <w:t>817</w:t>
            </w:r>
            <w:r w:rsidR="004777A7" w:rsidRPr="00E63031">
              <w:rPr>
                <w:rFonts w:asciiTheme="majorBidi" w:hAnsiTheme="majorBidi" w:cstheme="majorBidi"/>
                <w:sz w:val="20"/>
                <w:szCs w:val="20"/>
              </w:rPr>
              <w:t>.00</w:t>
            </w:r>
          </w:p>
        </w:tc>
        <w:tc>
          <w:tcPr>
            <w:tcW w:w="2380" w:type="dxa"/>
            <w:vAlign w:val="center"/>
          </w:tcPr>
          <w:p w:rsidR="00A51065" w:rsidRPr="00E63031" w:rsidRDefault="007E7C4F" w:rsidP="00251036">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125,385,</w:t>
            </w:r>
            <w:r w:rsidR="00CB0342" w:rsidRPr="00E63031">
              <w:rPr>
                <w:rFonts w:asciiTheme="majorBidi" w:hAnsiTheme="majorBidi" w:cstheme="majorBidi"/>
                <w:sz w:val="20"/>
                <w:szCs w:val="20"/>
              </w:rPr>
              <w:t>376</w:t>
            </w:r>
            <w:r w:rsidR="004777A7" w:rsidRPr="00E63031">
              <w:rPr>
                <w:rFonts w:asciiTheme="majorBidi" w:hAnsiTheme="majorBidi" w:cstheme="majorBidi"/>
                <w:sz w:val="20"/>
                <w:szCs w:val="20"/>
              </w:rPr>
              <w:t>.00</w:t>
            </w:r>
          </w:p>
        </w:tc>
      </w:tr>
      <w:tr w:rsidR="00A51065" w:rsidRPr="00E63031" w:rsidTr="00251036">
        <w:tc>
          <w:tcPr>
            <w:tcW w:w="4786" w:type="dxa"/>
          </w:tcPr>
          <w:p w:rsidR="00A51065" w:rsidRPr="00E63031" w:rsidRDefault="00D54793" w:rsidP="00E63031">
            <w:pPr>
              <w:spacing w:line="200" w:lineRule="exact"/>
              <w:rPr>
                <w:rFonts w:asciiTheme="majorBidi" w:hAnsiTheme="majorBidi" w:cstheme="majorBidi"/>
                <w:b/>
                <w:bCs/>
                <w:sz w:val="20"/>
                <w:szCs w:val="20"/>
                <w:rtl/>
                <w:lang w:bidi="fa-IR"/>
              </w:rPr>
            </w:pPr>
            <w:r w:rsidRPr="00E63031">
              <w:rPr>
                <w:rStyle w:val="shorttext"/>
                <w:rFonts w:asciiTheme="majorBidi" w:hAnsiTheme="majorBidi" w:cstheme="majorBidi"/>
                <w:b/>
                <w:bCs/>
                <w:sz w:val="20"/>
                <w:szCs w:val="20"/>
                <w:lang w:val="en"/>
              </w:rPr>
              <w:t>Customer's obligations for issued warranties</w:t>
            </w:r>
          </w:p>
        </w:tc>
        <w:tc>
          <w:tcPr>
            <w:tcW w:w="709" w:type="dxa"/>
          </w:tcPr>
          <w:p w:rsidR="00A51065" w:rsidRPr="00E63031" w:rsidRDefault="00141377"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51-1</w:t>
            </w:r>
          </w:p>
        </w:tc>
        <w:tc>
          <w:tcPr>
            <w:tcW w:w="1701" w:type="dxa"/>
            <w:vAlign w:val="center"/>
          </w:tcPr>
          <w:p w:rsidR="00A51065" w:rsidRPr="00E63031" w:rsidRDefault="007E7C4F"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2,448,</w:t>
            </w:r>
            <w:r w:rsidR="00141377" w:rsidRPr="00E63031">
              <w:rPr>
                <w:rFonts w:asciiTheme="majorBidi" w:hAnsiTheme="majorBidi" w:cstheme="majorBidi"/>
                <w:sz w:val="20"/>
                <w:szCs w:val="20"/>
              </w:rPr>
              <w:t>945</w:t>
            </w:r>
            <w:r w:rsidR="004777A7" w:rsidRPr="00E63031">
              <w:rPr>
                <w:rFonts w:asciiTheme="majorBidi" w:hAnsiTheme="majorBidi" w:cstheme="majorBidi"/>
                <w:sz w:val="20"/>
                <w:szCs w:val="20"/>
              </w:rPr>
              <w:t>.00</w:t>
            </w:r>
          </w:p>
        </w:tc>
        <w:tc>
          <w:tcPr>
            <w:tcW w:w="2380" w:type="dxa"/>
            <w:vAlign w:val="center"/>
          </w:tcPr>
          <w:p w:rsidR="00A51065" w:rsidRPr="00E63031" w:rsidRDefault="007E7C4F" w:rsidP="00251036">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3,796,141</w:t>
            </w:r>
            <w:r w:rsidR="004777A7" w:rsidRPr="00E63031">
              <w:rPr>
                <w:rFonts w:asciiTheme="majorBidi" w:hAnsiTheme="majorBidi" w:cstheme="majorBidi"/>
                <w:sz w:val="20"/>
                <w:szCs w:val="20"/>
              </w:rPr>
              <w:t>.00</w:t>
            </w:r>
          </w:p>
        </w:tc>
      </w:tr>
      <w:tr w:rsidR="00141377" w:rsidRPr="00E63031" w:rsidTr="00251036">
        <w:tc>
          <w:tcPr>
            <w:tcW w:w="4786" w:type="dxa"/>
            <w:tcBorders>
              <w:bottom w:val="double" w:sz="4" w:space="0" w:color="auto"/>
            </w:tcBorders>
          </w:tcPr>
          <w:p w:rsidR="00141377" w:rsidRPr="00E63031" w:rsidRDefault="00141377" w:rsidP="00E63031">
            <w:pPr>
              <w:spacing w:line="200" w:lineRule="exact"/>
              <w:rPr>
                <w:rStyle w:val="shorttext"/>
                <w:rFonts w:asciiTheme="majorBidi" w:hAnsiTheme="majorBidi" w:cstheme="majorBidi"/>
                <w:b/>
                <w:bCs/>
                <w:sz w:val="20"/>
                <w:szCs w:val="20"/>
                <w:lang w:val="en"/>
              </w:rPr>
            </w:pPr>
            <w:r w:rsidRPr="00E63031">
              <w:rPr>
                <w:rStyle w:val="shorttext"/>
                <w:rFonts w:asciiTheme="majorBidi" w:hAnsiTheme="majorBidi" w:cstheme="majorBidi"/>
                <w:b/>
                <w:bCs/>
                <w:sz w:val="20"/>
                <w:szCs w:val="20"/>
                <w:lang w:val="en"/>
              </w:rPr>
              <w:t xml:space="preserve">Other customer obligations </w:t>
            </w:r>
          </w:p>
        </w:tc>
        <w:tc>
          <w:tcPr>
            <w:tcW w:w="709" w:type="dxa"/>
            <w:tcBorders>
              <w:bottom w:val="double" w:sz="4" w:space="0" w:color="auto"/>
            </w:tcBorders>
          </w:tcPr>
          <w:p w:rsidR="00141377" w:rsidRPr="00E63031" w:rsidRDefault="00141377" w:rsidP="00E63031">
            <w:pPr>
              <w:spacing w:line="200" w:lineRule="exact"/>
              <w:jc w:val="center"/>
              <w:rPr>
                <w:rFonts w:asciiTheme="majorBidi" w:hAnsiTheme="majorBidi" w:cstheme="majorBidi"/>
                <w:sz w:val="20"/>
                <w:szCs w:val="20"/>
              </w:rPr>
            </w:pPr>
            <w:r w:rsidRPr="00E63031">
              <w:rPr>
                <w:rFonts w:asciiTheme="majorBidi" w:hAnsiTheme="majorBidi" w:cstheme="majorBidi"/>
                <w:sz w:val="20"/>
                <w:szCs w:val="20"/>
              </w:rPr>
              <w:t>51-2</w:t>
            </w:r>
          </w:p>
        </w:tc>
        <w:tc>
          <w:tcPr>
            <w:tcW w:w="1701" w:type="dxa"/>
            <w:tcBorders>
              <w:bottom w:val="double" w:sz="4" w:space="0" w:color="auto"/>
            </w:tcBorders>
            <w:vAlign w:val="center"/>
          </w:tcPr>
          <w:p w:rsidR="00141377" w:rsidRPr="00E63031" w:rsidRDefault="00141377"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4</w:t>
            </w:r>
            <w:r w:rsidR="007E7C4F" w:rsidRPr="00E63031">
              <w:rPr>
                <w:rFonts w:asciiTheme="majorBidi" w:hAnsiTheme="majorBidi" w:cstheme="majorBidi"/>
                <w:sz w:val="20"/>
                <w:szCs w:val="20"/>
              </w:rPr>
              <w:t>,461,</w:t>
            </w:r>
            <w:r w:rsidRPr="00E63031">
              <w:rPr>
                <w:rFonts w:asciiTheme="majorBidi" w:hAnsiTheme="majorBidi" w:cstheme="majorBidi"/>
                <w:sz w:val="20"/>
                <w:szCs w:val="20"/>
              </w:rPr>
              <w:t>289</w:t>
            </w:r>
            <w:r w:rsidR="004777A7" w:rsidRPr="00E63031">
              <w:rPr>
                <w:rFonts w:asciiTheme="majorBidi" w:hAnsiTheme="majorBidi" w:cstheme="majorBidi"/>
                <w:sz w:val="20"/>
                <w:szCs w:val="20"/>
              </w:rPr>
              <w:t>.00</w:t>
            </w:r>
          </w:p>
        </w:tc>
        <w:tc>
          <w:tcPr>
            <w:tcW w:w="2380" w:type="dxa"/>
            <w:tcBorders>
              <w:bottom w:val="double" w:sz="4" w:space="0" w:color="auto"/>
            </w:tcBorders>
            <w:vAlign w:val="center"/>
          </w:tcPr>
          <w:p w:rsidR="00141377" w:rsidRPr="00E63031" w:rsidRDefault="007E7C4F" w:rsidP="00E63031">
            <w:pPr>
              <w:spacing w:line="200" w:lineRule="exact"/>
              <w:jc w:val="right"/>
              <w:rPr>
                <w:rFonts w:asciiTheme="majorBidi" w:hAnsiTheme="majorBidi" w:cstheme="majorBidi"/>
                <w:sz w:val="20"/>
                <w:szCs w:val="20"/>
              </w:rPr>
            </w:pPr>
            <w:r w:rsidRPr="00E63031">
              <w:rPr>
                <w:rFonts w:asciiTheme="majorBidi" w:hAnsiTheme="majorBidi" w:cstheme="majorBidi"/>
                <w:sz w:val="20"/>
                <w:szCs w:val="20"/>
              </w:rPr>
              <w:t>3,287,</w:t>
            </w:r>
            <w:r w:rsidR="00141377" w:rsidRPr="00E63031">
              <w:rPr>
                <w:rFonts w:asciiTheme="majorBidi" w:hAnsiTheme="majorBidi" w:cstheme="majorBidi"/>
                <w:sz w:val="20"/>
                <w:szCs w:val="20"/>
              </w:rPr>
              <w:t>119</w:t>
            </w:r>
            <w:r w:rsidR="004777A7" w:rsidRPr="00E63031">
              <w:rPr>
                <w:rFonts w:asciiTheme="majorBidi" w:hAnsiTheme="majorBidi" w:cstheme="majorBidi"/>
                <w:sz w:val="20"/>
                <w:szCs w:val="20"/>
              </w:rPr>
              <w:t>.00</w:t>
            </w:r>
          </w:p>
        </w:tc>
      </w:tr>
    </w:tbl>
    <w:p w:rsidR="00415934" w:rsidRPr="00415934" w:rsidRDefault="00415934" w:rsidP="001F7F10">
      <w:pPr>
        <w:spacing w:after="0" w:line="240" w:lineRule="auto"/>
        <w:jc w:val="center"/>
        <w:rPr>
          <w:rFonts w:ascii="Times New Roman" w:eastAsia="Calibri" w:hAnsi="Times New Roman"/>
        </w:rPr>
      </w:pPr>
    </w:p>
    <w:sectPr w:rsidR="00415934" w:rsidRPr="00415934" w:rsidSect="00E63031">
      <w:footerReference w:type="default" r:id="rId8"/>
      <w:pgSz w:w="12240" w:h="15840"/>
      <w:pgMar w:top="2495" w:right="1440" w:bottom="1134"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61" w:rsidRDefault="006C7461" w:rsidP="00CA6AF8">
      <w:pPr>
        <w:spacing w:after="0" w:line="240" w:lineRule="auto"/>
      </w:pPr>
      <w:r>
        <w:separator/>
      </w:r>
    </w:p>
  </w:endnote>
  <w:endnote w:type="continuationSeparator" w:id="0">
    <w:p w:rsidR="006C7461" w:rsidRDefault="006C7461" w:rsidP="00CA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A2" w:rsidRDefault="000D24A2" w:rsidP="002715D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61" w:rsidRDefault="006C7461" w:rsidP="00CA6AF8">
      <w:pPr>
        <w:spacing w:after="0" w:line="240" w:lineRule="auto"/>
      </w:pPr>
      <w:r>
        <w:separator/>
      </w:r>
    </w:p>
  </w:footnote>
  <w:footnote w:type="continuationSeparator" w:id="0">
    <w:p w:rsidR="006C7461" w:rsidRDefault="006C7461" w:rsidP="00CA6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147E"/>
    <w:multiLevelType w:val="hybridMultilevel"/>
    <w:tmpl w:val="E30CF472"/>
    <w:lvl w:ilvl="0" w:tplc="4A889238">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7619A"/>
    <w:multiLevelType w:val="hybridMultilevel"/>
    <w:tmpl w:val="2054BF60"/>
    <w:lvl w:ilvl="0" w:tplc="493CE7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60BDC"/>
    <w:multiLevelType w:val="hybridMultilevel"/>
    <w:tmpl w:val="8E5867F8"/>
    <w:lvl w:ilvl="0" w:tplc="F22871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D26DB"/>
    <w:multiLevelType w:val="hybridMultilevel"/>
    <w:tmpl w:val="C19292CA"/>
    <w:lvl w:ilvl="0" w:tplc="16C84AE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93DA2"/>
    <w:multiLevelType w:val="hybridMultilevel"/>
    <w:tmpl w:val="BA502C08"/>
    <w:lvl w:ilvl="0" w:tplc="D826C23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B2460F"/>
    <w:multiLevelType w:val="hybridMultilevel"/>
    <w:tmpl w:val="3E86FF30"/>
    <w:lvl w:ilvl="0" w:tplc="68C0F13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77197"/>
    <w:multiLevelType w:val="hybridMultilevel"/>
    <w:tmpl w:val="77A6B722"/>
    <w:lvl w:ilvl="0" w:tplc="104476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73E06"/>
    <w:multiLevelType w:val="hybridMultilevel"/>
    <w:tmpl w:val="9AB82AEE"/>
    <w:lvl w:ilvl="0" w:tplc="1BD050D6">
      <w:start w:val="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97E11"/>
    <w:multiLevelType w:val="hybridMultilevel"/>
    <w:tmpl w:val="82661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D7"/>
    <w:rsid w:val="00001473"/>
    <w:rsid w:val="00001E97"/>
    <w:rsid w:val="000029D5"/>
    <w:rsid w:val="00004981"/>
    <w:rsid w:val="00005715"/>
    <w:rsid w:val="0001011C"/>
    <w:rsid w:val="000104CB"/>
    <w:rsid w:val="00010636"/>
    <w:rsid w:val="00011D56"/>
    <w:rsid w:val="00013B36"/>
    <w:rsid w:val="0001532F"/>
    <w:rsid w:val="00016A4F"/>
    <w:rsid w:val="00016D60"/>
    <w:rsid w:val="000205F4"/>
    <w:rsid w:val="0002296A"/>
    <w:rsid w:val="00024A69"/>
    <w:rsid w:val="00025C72"/>
    <w:rsid w:val="00026037"/>
    <w:rsid w:val="00026FA9"/>
    <w:rsid w:val="00030E57"/>
    <w:rsid w:val="00034A67"/>
    <w:rsid w:val="00036619"/>
    <w:rsid w:val="00037767"/>
    <w:rsid w:val="00037ED7"/>
    <w:rsid w:val="0004005E"/>
    <w:rsid w:val="00041FA4"/>
    <w:rsid w:val="0004220D"/>
    <w:rsid w:val="00043C8D"/>
    <w:rsid w:val="000440FD"/>
    <w:rsid w:val="00047822"/>
    <w:rsid w:val="00052119"/>
    <w:rsid w:val="00052231"/>
    <w:rsid w:val="00056DD7"/>
    <w:rsid w:val="00057865"/>
    <w:rsid w:val="00057F94"/>
    <w:rsid w:val="00061AAF"/>
    <w:rsid w:val="00062C5F"/>
    <w:rsid w:val="000641A3"/>
    <w:rsid w:val="00064E0F"/>
    <w:rsid w:val="00064E30"/>
    <w:rsid w:val="000664B7"/>
    <w:rsid w:val="00074056"/>
    <w:rsid w:val="000756B3"/>
    <w:rsid w:val="00075D73"/>
    <w:rsid w:val="00077B43"/>
    <w:rsid w:val="0008010F"/>
    <w:rsid w:val="00081409"/>
    <w:rsid w:val="00081A63"/>
    <w:rsid w:val="00081F09"/>
    <w:rsid w:val="00085B0D"/>
    <w:rsid w:val="000875C4"/>
    <w:rsid w:val="00094FAC"/>
    <w:rsid w:val="00095256"/>
    <w:rsid w:val="00096B7E"/>
    <w:rsid w:val="000A146A"/>
    <w:rsid w:val="000A207A"/>
    <w:rsid w:val="000A3037"/>
    <w:rsid w:val="000A4D58"/>
    <w:rsid w:val="000A622B"/>
    <w:rsid w:val="000B0D80"/>
    <w:rsid w:val="000B0E25"/>
    <w:rsid w:val="000B1E03"/>
    <w:rsid w:val="000B1E1A"/>
    <w:rsid w:val="000B30BA"/>
    <w:rsid w:val="000B31C0"/>
    <w:rsid w:val="000B3DD7"/>
    <w:rsid w:val="000B6B75"/>
    <w:rsid w:val="000B6C6E"/>
    <w:rsid w:val="000B7C95"/>
    <w:rsid w:val="000C0BD4"/>
    <w:rsid w:val="000C1BC2"/>
    <w:rsid w:val="000C45FE"/>
    <w:rsid w:val="000C58C8"/>
    <w:rsid w:val="000D158B"/>
    <w:rsid w:val="000D1C00"/>
    <w:rsid w:val="000D24A2"/>
    <w:rsid w:val="000D43F7"/>
    <w:rsid w:val="000D4D2A"/>
    <w:rsid w:val="000D725D"/>
    <w:rsid w:val="000E032A"/>
    <w:rsid w:val="000E0CE6"/>
    <w:rsid w:val="000E3213"/>
    <w:rsid w:val="000E43DC"/>
    <w:rsid w:val="000E6E56"/>
    <w:rsid w:val="000E7EA5"/>
    <w:rsid w:val="000F30EA"/>
    <w:rsid w:val="000F7CA4"/>
    <w:rsid w:val="00100B8A"/>
    <w:rsid w:val="0010207F"/>
    <w:rsid w:val="00103B8B"/>
    <w:rsid w:val="001055E9"/>
    <w:rsid w:val="00106C1F"/>
    <w:rsid w:val="00111F02"/>
    <w:rsid w:val="00111FF1"/>
    <w:rsid w:val="00115ABF"/>
    <w:rsid w:val="00116FFF"/>
    <w:rsid w:val="00121521"/>
    <w:rsid w:val="00121D95"/>
    <w:rsid w:val="00124A7C"/>
    <w:rsid w:val="0012565C"/>
    <w:rsid w:val="00125DDD"/>
    <w:rsid w:val="00126D85"/>
    <w:rsid w:val="0013433E"/>
    <w:rsid w:val="00137F1C"/>
    <w:rsid w:val="00140CA5"/>
    <w:rsid w:val="00141377"/>
    <w:rsid w:val="00141E4F"/>
    <w:rsid w:val="001434F7"/>
    <w:rsid w:val="00144AD6"/>
    <w:rsid w:val="00145258"/>
    <w:rsid w:val="00146333"/>
    <w:rsid w:val="0014725A"/>
    <w:rsid w:val="001475F2"/>
    <w:rsid w:val="00147C92"/>
    <w:rsid w:val="00150366"/>
    <w:rsid w:val="0015290C"/>
    <w:rsid w:val="00155F31"/>
    <w:rsid w:val="0015745A"/>
    <w:rsid w:val="001577BA"/>
    <w:rsid w:val="001608DE"/>
    <w:rsid w:val="001611CD"/>
    <w:rsid w:val="00161774"/>
    <w:rsid w:val="00163345"/>
    <w:rsid w:val="0016477C"/>
    <w:rsid w:val="001649FC"/>
    <w:rsid w:val="0016587C"/>
    <w:rsid w:val="00165BC0"/>
    <w:rsid w:val="00165E3B"/>
    <w:rsid w:val="00166170"/>
    <w:rsid w:val="001670AD"/>
    <w:rsid w:val="00171078"/>
    <w:rsid w:val="00171877"/>
    <w:rsid w:val="00173225"/>
    <w:rsid w:val="00173F91"/>
    <w:rsid w:val="001748AC"/>
    <w:rsid w:val="0017642B"/>
    <w:rsid w:val="00180262"/>
    <w:rsid w:val="001818F3"/>
    <w:rsid w:val="00184DBC"/>
    <w:rsid w:val="0018534A"/>
    <w:rsid w:val="00186456"/>
    <w:rsid w:val="0018647D"/>
    <w:rsid w:val="001927BC"/>
    <w:rsid w:val="001940DA"/>
    <w:rsid w:val="00194A33"/>
    <w:rsid w:val="00194B6B"/>
    <w:rsid w:val="00195E28"/>
    <w:rsid w:val="001976F2"/>
    <w:rsid w:val="001A03E6"/>
    <w:rsid w:val="001A10B4"/>
    <w:rsid w:val="001A2697"/>
    <w:rsid w:val="001A4DC0"/>
    <w:rsid w:val="001A70BB"/>
    <w:rsid w:val="001B0F27"/>
    <w:rsid w:val="001B1185"/>
    <w:rsid w:val="001B37BB"/>
    <w:rsid w:val="001B569B"/>
    <w:rsid w:val="001B5CE0"/>
    <w:rsid w:val="001B5FF2"/>
    <w:rsid w:val="001B712D"/>
    <w:rsid w:val="001C01EB"/>
    <w:rsid w:val="001C0BF4"/>
    <w:rsid w:val="001C271D"/>
    <w:rsid w:val="001C4F27"/>
    <w:rsid w:val="001C5993"/>
    <w:rsid w:val="001C72FD"/>
    <w:rsid w:val="001D0AD7"/>
    <w:rsid w:val="001D1A65"/>
    <w:rsid w:val="001D3C2A"/>
    <w:rsid w:val="001D3C6F"/>
    <w:rsid w:val="001D6101"/>
    <w:rsid w:val="001E38D5"/>
    <w:rsid w:val="001E4478"/>
    <w:rsid w:val="001E523C"/>
    <w:rsid w:val="001E6677"/>
    <w:rsid w:val="001E7B38"/>
    <w:rsid w:val="001E7E87"/>
    <w:rsid w:val="001F0678"/>
    <w:rsid w:val="001F10D9"/>
    <w:rsid w:val="001F3A63"/>
    <w:rsid w:val="001F4079"/>
    <w:rsid w:val="001F56F9"/>
    <w:rsid w:val="001F7F10"/>
    <w:rsid w:val="00200BB3"/>
    <w:rsid w:val="00200CE4"/>
    <w:rsid w:val="00200D11"/>
    <w:rsid w:val="00203679"/>
    <w:rsid w:val="00205D29"/>
    <w:rsid w:val="002075DA"/>
    <w:rsid w:val="0021050B"/>
    <w:rsid w:val="0021081E"/>
    <w:rsid w:val="0021397E"/>
    <w:rsid w:val="00214471"/>
    <w:rsid w:val="00215203"/>
    <w:rsid w:val="00216D91"/>
    <w:rsid w:val="002177A1"/>
    <w:rsid w:val="0022055D"/>
    <w:rsid w:val="00221DFA"/>
    <w:rsid w:val="0022313D"/>
    <w:rsid w:val="002244C5"/>
    <w:rsid w:val="00227D41"/>
    <w:rsid w:val="00227F25"/>
    <w:rsid w:val="002300F3"/>
    <w:rsid w:val="00233CBE"/>
    <w:rsid w:val="00235B0F"/>
    <w:rsid w:val="00236CB1"/>
    <w:rsid w:val="00237F84"/>
    <w:rsid w:val="00242C25"/>
    <w:rsid w:val="00243B93"/>
    <w:rsid w:val="00243DDE"/>
    <w:rsid w:val="002442CD"/>
    <w:rsid w:val="00245678"/>
    <w:rsid w:val="0024583B"/>
    <w:rsid w:val="002475A7"/>
    <w:rsid w:val="002502FF"/>
    <w:rsid w:val="00251036"/>
    <w:rsid w:val="0025169E"/>
    <w:rsid w:val="00252458"/>
    <w:rsid w:val="0025497A"/>
    <w:rsid w:val="002551E5"/>
    <w:rsid w:val="0025751D"/>
    <w:rsid w:val="002632EB"/>
    <w:rsid w:val="00264684"/>
    <w:rsid w:val="0026563C"/>
    <w:rsid w:val="00270500"/>
    <w:rsid w:val="002715DC"/>
    <w:rsid w:val="00274AB5"/>
    <w:rsid w:val="00277808"/>
    <w:rsid w:val="002829E7"/>
    <w:rsid w:val="00282EB8"/>
    <w:rsid w:val="00282F44"/>
    <w:rsid w:val="00283D4A"/>
    <w:rsid w:val="00286153"/>
    <w:rsid w:val="00287359"/>
    <w:rsid w:val="002875D4"/>
    <w:rsid w:val="002904F3"/>
    <w:rsid w:val="002920F9"/>
    <w:rsid w:val="002936D9"/>
    <w:rsid w:val="0029466C"/>
    <w:rsid w:val="00296BE4"/>
    <w:rsid w:val="002A0AAD"/>
    <w:rsid w:val="002A1045"/>
    <w:rsid w:val="002A1E8F"/>
    <w:rsid w:val="002A2E94"/>
    <w:rsid w:val="002A35D3"/>
    <w:rsid w:val="002A57E4"/>
    <w:rsid w:val="002A744C"/>
    <w:rsid w:val="002A7727"/>
    <w:rsid w:val="002A793F"/>
    <w:rsid w:val="002B07D5"/>
    <w:rsid w:val="002B09C7"/>
    <w:rsid w:val="002B1620"/>
    <w:rsid w:val="002B1BA0"/>
    <w:rsid w:val="002B1E4F"/>
    <w:rsid w:val="002B2356"/>
    <w:rsid w:val="002B3AF0"/>
    <w:rsid w:val="002B3E9F"/>
    <w:rsid w:val="002B4C0E"/>
    <w:rsid w:val="002B5703"/>
    <w:rsid w:val="002B5AFC"/>
    <w:rsid w:val="002C0217"/>
    <w:rsid w:val="002C1606"/>
    <w:rsid w:val="002C166F"/>
    <w:rsid w:val="002C2164"/>
    <w:rsid w:val="002C2AC1"/>
    <w:rsid w:val="002C3D64"/>
    <w:rsid w:val="002C637C"/>
    <w:rsid w:val="002C7256"/>
    <w:rsid w:val="002D1333"/>
    <w:rsid w:val="002D21D5"/>
    <w:rsid w:val="002D2759"/>
    <w:rsid w:val="002D27C2"/>
    <w:rsid w:val="002D3B22"/>
    <w:rsid w:val="002D4D5F"/>
    <w:rsid w:val="002D59FD"/>
    <w:rsid w:val="002D7951"/>
    <w:rsid w:val="002D7DCD"/>
    <w:rsid w:val="002E1FC0"/>
    <w:rsid w:val="002E3139"/>
    <w:rsid w:val="002E36C5"/>
    <w:rsid w:val="002E449B"/>
    <w:rsid w:val="002E4602"/>
    <w:rsid w:val="002E61FA"/>
    <w:rsid w:val="002E62B7"/>
    <w:rsid w:val="002E7833"/>
    <w:rsid w:val="002F1BA4"/>
    <w:rsid w:val="002F262D"/>
    <w:rsid w:val="002F3B6C"/>
    <w:rsid w:val="002F4374"/>
    <w:rsid w:val="002F4D8B"/>
    <w:rsid w:val="002F6D9D"/>
    <w:rsid w:val="002F71ED"/>
    <w:rsid w:val="00300731"/>
    <w:rsid w:val="003034BD"/>
    <w:rsid w:val="003047FD"/>
    <w:rsid w:val="00304E9F"/>
    <w:rsid w:val="00306D43"/>
    <w:rsid w:val="003127B0"/>
    <w:rsid w:val="00312E01"/>
    <w:rsid w:val="00313804"/>
    <w:rsid w:val="00313D14"/>
    <w:rsid w:val="003145D1"/>
    <w:rsid w:val="00315476"/>
    <w:rsid w:val="00315761"/>
    <w:rsid w:val="00317A0A"/>
    <w:rsid w:val="00323ABD"/>
    <w:rsid w:val="0032459E"/>
    <w:rsid w:val="00325B7E"/>
    <w:rsid w:val="00326776"/>
    <w:rsid w:val="00326B15"/>
    <w:rsid w:val="00326E36"/>
    <w:rsid w:val="00327680"/>
    <w:rsid w:val="00330292"/>
    <w:rsid w:val="00330293"/>
    <w:rsid w:val="00331E60"/>
    <w:rsid w:val="00332CF6"/>
    <w:rsid w:val="003358FD"/>
    <w:rsid w:val="00336343"/>
    <w:rsid w:val="00337841"/>
    <w:rsid w:val="00340455"/>
    <w:rsid w:val="00341030"/>
    <w:rsid w:val="003419C2"/>
    <w:rsid w:val="0034255B"/>
    <w:rsid w:val="00342873"/>
    <w:rsid w:val="0034332C"/>
    <w:rsid w:val="00343480"/>
    <w:rsid w:val="00346FFB"/>
    <w:rsid w:val="003472D2"/>
    <w:rsid w:val="003510E5"/>
    <w:rsid w:val="003528CE"/>
    <w:rsid w:val="00353305"/>
    <w:rsid w:val="00356598"/>
    <w:rsid w:val="00356603"/>
    <w:rsid w:val="00361EE7"/>
    <w:rsid w:val="00364140"/>
    <w:rsid w:val="00364849"/>
    <w:rsid w:val="00365FBC"/>
    <w:rsid w:val="003668E4"/>
    <w:rsid w:val="00366D79"/>
    <w:rsid w:val="00370344"/>
    <w:rsid w:val="0037330F"/>
    <w:rsid w:val="00373B82"/>
    <w:rsid w:val="003742EF"/>
    <w:rsid w:val="003744B5"/>
    <w:rsid w:val="00375EE3"/>
    <w:rsid w:val="00380B29"/>
    <w:rsid w:val="00382C27"/>
    <w:rsid w:val="00385429"/>
    <w:rsid w:val="00385D96"/>
    <w:rsid w:val="00386882"/>
    <w:rsid w:val="00391944"/>
    <w:rsid w:val="00391CB4"/>
    <w:rsid w:val="003936B1"/>
    <w:rsid w:val="003A0791"/>
    <w:rsid w:val="003A124A"/>
    <w:rsid w:val="003A1B41"/>
    <w:rsid w:val="003A2B4A"/>
    <w:rsid w:val="003A4458"/>
    <w:rsid w:val="003A44F4"/>
    <w:rsid w:val="003A60B7"/>
    <w:rsid w:val="003A6D6C"/>
    <w:rsid w:val="003A7864"/>
    <w:rsid w:val="003A78AC"/>
    <w:rsid w:val="003A7A7E"/>
    <w:rsid w:val="003A7F20"/>
    <w:rsid w:val="003B0441"/>
    <w:rsid w:val="003B23DC"/>
    <w:rsid w:val="003B2CC4"/>
    <w:rsid w:val="003B3B33"/>
    <w:rsid w:val="003B5CC2"/>
    <w:rsid w:val="003B69C6"/>
    <w:rsid w:val="003C0678"/>
    <w:rsid w:val="003C07E6"/>
    <w:rsid w:val="003C34D6"/>
    <w:rsid w:val="003C6D30"/>
    <w:rsid w:val="003D04B4"/>
    <w:rsid w:val="003D0D72"/>
    <w:rsid w:val="003D0ED0"/>
    <w:rsid w:val="003D1356"/>
    <w:rsid w:val="003D1AEB"/>
    <w:rsid w:val="003D1CC9"/>
    <w:rsid w:val="003D1E48"/>
    <w:rsid w:val="003D2CCA"/>
    <w:rsid w:val="003D3B99"/>
    <w:rsid w:val="003D54B3"/>
    <w:rsid w:val="003D61BA"/>
    <w:rsid w:val="003E021B"/>
    <w:rsid w:val="003E2B05"/>
    <w:rsid w:val="003E303A"/>
    <w:rsid w:val="003E322A"/>
    <w:rsid w:val="003E3B8A"/>
    <w:rsid w:val="003E5A35"/>
    <w:rsid w:val="003E5AE8"/>
    <w:rsid w:val="003E6444"/>
    <w:rsid w:val="003F093B"/>
    <w:rsid w:val="003F11E5"/>
    <w:rsid w:val="003F1655"/>
    <w:rsid w:val="003F3C7C"/>
    <w:rsid w:val="00401030"/>
    <w:rsid w:val="004012D1"/>
    <w:rsid w:val="00402143"/>
    <w:rsid w:val="0040379A"/>
    <w:rsid w:val="004039ED"/>
    <w:rsid w:val="0040428C"/>
    <w:rsid w:val="004054D3"/>
    <w:rsid w:val="0040649F"/>
    <w:rsid w:val="00406556"/>
    <w:rsid w:val="00406D97"/>
    <w:rsid w:val="0040756B"/>
    <w:rsid w:val="004078F8"/>
    <w:rsid w:val="0041024E"/>
    <w:rsid w:val="00410D12"/>
    <w:rsid w:val="0041133C"/>
    <w:rsid w:val="00411DBC"/>
    <w:rsid w:val="00414420"/>
    <w:rsid w:val="00415934"/>
    <w:rsid w:val="0041684B"/>
    <w:rsid w:val="0042481F"/>
    <w:rsid w:val="00425B8D"/>
    <w:rsid w:val="00427A3D"/>
    <w:rsid w:val="00431AFA"/>
    <w:rsid w:val="00431E14"/>
    <w:rsid w:val="00431E15"/>
    <w:rsid w:val="00431FA9"/>
    <w:rsid w:val="00434624"/>
    <w:rsid w:val="00435273"/>
    <w:rsid w:val="00435AB6"/>
    <w:rsid w:val="004426D3"/>
    <w:rsid w:val="004427D4"/>
    <w:rsid w:val="00444212"/>
    <w:rsid w:val="00444D18"/>
    <w:rsid w:val="00444F7D"/>
    <w:rsid w:val="00446492"/>
    <w:rsid w:val="00446528"/>
    <w:rsid w:val="00447D51"/>
    <w:rsid w:val="0045046F"/>
    <w:rsid w:val="00453204"/>
    <w:rsid w:val="004537E5"/>
    <w:rsid w:val="00454531"/>
    <w:rsid w:val="00455100"/>
    <w:rsid w:val="00457BFD"/>
    <w:rsid w:val="00461158"/>
    <w:rsid w:val="004623C8"/>
    <w:rsid w:val="0046300A"/>
    <w:rsid w:val="004657C0"/>
    <w:rsid w:val="00465BDD"/>
    <w:rsid w:val="0047101F"/>
    <w:rsid w:val="0047220E"/>
    <w:rsid w:val="0047325D"/>
    <w:rsid w:val="004736A3"/>
    <w:rsid w:val="00474184"/>
    <w:rsid w:val="0047431B"/>
    <w:rsid w:val="00474C9C"/>
    <w:rsid w:val="00475528"/>
    <w:rsid w:val="0047670B"/>
    <w:rsid w:val="00476D06"/>
    <w:rsid w:val="004777A7"/>
    <w:rsid w:val="00485569"/>
    <w:rsid w:val="004858AB"/>
    <w:rsid w:val="00486E7C"/>
    <w:rsid w:val="004876A6"/>
    <w:rsid w:val="004904C5"/>
    <w:rsid w:val="00490F38"/>
    <w:rsid w:val="00492D40"/>
    <w:rsid w:val="00495EBE"/>
    <w:rsid w:val="004A4787"/>
    <w:rsid w:val="004A56D6"/>
    <w:rsid w:val="004A6031"/>
    <w:rsid w:val="004A613B"/>
    <w:rsid w:val="004A67FB"/>
    <w:rsid w:val="004A76F8"/>
    <w:rsid w:val="004A7ED2"/>
    <w:rsid w:val="004B079F"/>
    <w:rsid w:val="004B0980"/>
    <w:rsid w:val="004B0C1F"/>
    <w:rsid w:val="004B164C"/>
    <w:rsid w:val="004B2431"/>
    <w:rsid w:val="004B2C78"/>
    <w:rsid w:val="004B33EE"/>
    <w:rsid w:val="004B4A1F"/>
    <w:rsid w:val="004C201B"/>
    <w:rsid w:val="004C33C1"/>
    <w:rsid w:val="004C67A1"/>
    <w:rsid w:val="004D09CC"/>
    <w:rsid w:val="004D107C"/>
    <w:rsid w:val="004D1D04"/>
    <w:rsid w:val="004D2FA9"/>
    <w:rsid w:val="004D40DF"/>
    <w:rsid w:val="004D77A9"/>
    <w:rsid w:val="004D78AB"/>
    <w:rsid w:val="004E0452"/>
    <w:rsid w:val="004E0B54"/>
    <w:rsid w:val="004E1598"/>
    <w:rsid w:val="004E6D8F"/>
    <w:rsid w:val="004E7218"/>
    <w:rsid w:val="004F0E3C"/>
    <w:rsid w:val="004F3EFC"/>
    <w:rsid w:val="004F5400"/>
    <w:rsid w:val="005008B4"/>
    <w:rsid w:val="00500997"/>
    <w:rsid w:val="00500B20"/>
    <w:rsid w:val="00501238"/>
    <w:rsid w:val="00501DC5"/>
    <w:rsid w:val="00502A06"/>
    <w:rsid w:val="005031E9"/>
    <w:rsid w:val="00503579"/>
    <w:rsid w:val="0050398E"/>
    <w:rsid w:val="00504001"/>
    <w:rsid w:val="00504783"/>
    <w:rsid w:val="0050787C"/>
    <w:rsid w:val="005127C7"/>
    <w:rsid w:val="00512837"/>
    <w:rsid w:val="005142B3"/>
    <w:rsid w:val="0051527A"/>
    <w:rsid w:val="00517866"/>
    <w:rsid w:val="00520773"/>
    <w:rsid w:val="00520AD7"/>
    <w:rsid w:val="00521550"/>
    <w:rsid w:val="00522526"/>
    <w:rsid w:val="00523133"/>
    <w:rsid w:val="005237DB"/>
    <w:rsid w:val="00524A02"/>
    <w:rsid w:val="0052582B"/>
    <w:rsid w:val="00525B61"/>
    <w:rsid w:val="005267D1"/>
    <w:rsid w:val="005302BF"/>
    <w:rsid w:val="005312D4"/>
    <w:rsid w:val="0053242B"/>
    <w:rsid w:val="005345C8"/>
    <w:rsid w:val="005361FC"/>
    <w:rsid w:val="00544676"/>
    <w:rsid w:val="0054556D"/>
    <w:rsid w:val="00546610"/>
    <w:rsid w:val="0054699F"/>
    <w:rsid w:val="00546FC0"/>
    <w:rsid w:val="00547D39"/>
    <w:rsid w:val="00551741"/>
    <w:rsid w:val="00551F65"/>
    <w:rsid w:val="0055262E"/>
    <w:rsid w:val="005532A0"/>
    <w:rsid w:val="00554259"/>
    <w:rsid w:val="00555784"/>
    <w:rsid w:val="005577A9"/>
    <w:rsid w:val="00557826"/>
    <w:rsid w:val="00560FB6"/>
    <w:rsid w:val="00561088"/>
    <w:rsid w:val="00562A88"/>
    <w:rsid w:val="00562B31"/>
    <w:rsid w:val="005652E2"/>
    <w:rsid w:val="00565A60"/>
    <w:rsid w:val="00565B1F"/>
    <w:rsid w:val="00565CA2"/>
    <w:rsid w:val="005703D1"/>
    <w:rsid w:val="005712CA"/>
    <w:rsid w:val="00573B14"/>
    <w:rsid w:val="00576035"/>
    <w:rsid w:val="005761EE"/>
    <w:rsid w:val="00576C20"/>
    <w:rsid w:val="0057792E"/>
    <w:rsid w:val="00577E1A"/>
    <w:rsid w:val="00580EC3"/>
    <w:rsid w:val="00582BC0"/>
    <w:rsid w:val="00582BFB"/>
    <w:rsid w:val="00586A89"/>
    <w:rsid w:val="0058777E"/>
    <w:rsid w:val="0059050C"/>
    <w:rsid w:val="005913B6"/>
    <w:rsid w:val="00592493"/>
    <w:rsid w:val="005957A2"/>
    <w:rsid w:val="00595CD2"/>
    <w:rsid w:val="005973F5"/>
    <w:rsid w:val="00597572"/>
    <w:rsid w:val="005977B9"/>
    <w:rsid w:val="00597D0B"/>
    <w:rsid w:val="005A19BD"/>
    <w:rsid w:val="005A33F6"/>
    <w:rsid w:val="005A399C"/>
    <w:rsid w:val="005B0F96"/>
    <w:rsid w:val="005B667F"/>
    <w:rsid w:val="005B6B3A"/>
    <w:rsid w:val="005B6CF7"/>
    <w:rsid w:val="005B709B"/>
    <w:rsid w:val="005B772C"/>
    <w:rsid w:val="005C1807"/>
    <w:rsid w:val="005C2AB7"/>
    <w:rsid w:val="005C52DE"/>
    <w:rsid w:val="005C56B8"/>
    <w:rsid w:val="005C6A37"/>
    <w:rsid w:val="005D0F2D"/>
    <w:rsid w:val="005D370D"/>
    <w:rsid w:val="005D4DE7"/>
    <w:rsid w:val="005D4DEE"/>
    <w:rsid w:val="005D69D7"/>
    <w:rsid w:val="005D7671"/>
    <w:rsid w:val="005D7F00"/>
    <w:rsid w:val="005E1409"/>
    <w:rsid w:val="005E247B"/>
    <w:rsid w:val="005E3AB7"/>
    <w:rsid w:val="005E3B73"/>
    <w:rsid w:val="005E54DB"/>
    <w:rsid w:val="005E6189"/>
    <w:rsid w:val="005F1542"/>
    <w:rsid w:val="005F37B2"/>
    <w:rsid w:val="005F5A00"/>
    <w:rsid w:val="005F78E1"/>
    <w:rsid w:val="00601D0A"/>
    <w:rsid w:val="00601E31"/>
    <w:rsid w:val="00603950"/>
    <w:rsid w:val="00605F7A"/>
    <w:rsid w:val="00610604"/>
    <w:rsid w:val="006106C9"/>
    <w:rsid w:val="00610932"/>
    <w:rsid w:val="00610B2B"/>
    <w:rsid w:val="006131E1"/>
    <w:rsid w:val="00614DC1"/>
    <w:rsid w:val="00614F21"/>
    <w:rsid w:val="00620E35"/>
    <w:rsid w:val="00624E77"/>
    <w:rsid w:val="006252C8"/>
    <w:rsid w:val="00626132"/>
    <w:rsid w:val="006322D3"/>
    <w:rsid w:val="006324B8"/>
    <w:rsid w:val="006329A2"/>
    <w:rsid w:val="00632A23"/>
    <w:rsid w:val="0063409E"/>
    <w:rsid w:val="006359C6"/>
    <w:rsid w:val="00635CAD"/>
    <w:rsid w:val="006368AB"/>
    <w:rsid w:val="00637E31"/>
    <w:rsid w:val="00640474"/>
    <w:rsid w:val="00640C1C"/>
    <w:rsid w:val="00642F09"/>
    <w:rsid w:val="006437BB"/>
    <w:rsid w:val="00643EA6"/>
    <w:rsid w:val="0064580A"/>
    <w:rsid w:val="00645E74"/>
    <w:rsid w:val="0064625A"/>
    <w:rsid w:val="00651965"/>
    <w:rsid w:val="00651F2A"/>
    <w:rsid w:val="006535BC"/>
    <w:rsid w:val="006554D1"/>
    <w:rsid w:val="006557AA"/>
    <w:rsid w:val="006564C8"/>
    <w:rsid w:val="006604C7"/>
    <w:rsid w:val="00662292"/>
    <w:rsid w:val="006637E5"/>
    <w:rsid w:val="00664242"/>
    <w:rsid w:val="00666C8B"/>
    <w:rsid w:val="006671CC"/>
    <w:rsid w:val="00667B70"/>
    <w:rsid w:val="006716CB"/>
    <w:rsid w:val="00674881"/>
    <w:rsid w:val="00675B14"/>
    <w:rsid w:val="006765BA"/>
    <w:rsid w:val="0067669B"/>
    <w:rsid w:val="00680F11"/>
    <w:rsid w:val="00681345"/>
    <w:rsid w:val="006815CA"/>
    <w:rsid w:val="00681EF8"/>
    <w:rsid w:val="00682B71"/>
    <w:rsid w:val="0069078B"/>
    <w:rsid w:val="00694A01"/>
    <w:rsid w:val="00694AAC"/>
    <w:rsid w:val="00695139"/>
    <w:rsid w:val="00695612"/>
    <w:rsid w:val="0069600B"/>
    <w:rsid w:val="00696878"/>
    <w:rsid w:val="006976AF"/>
    <w:rsid w:val="006A020C"/>
    <w:rsid w:val="006A0FBF"/>
    <w:rsid w:val="006A14A6"/>
    <w:rsid w:val="006A2D27"/>
    <w:rsid w:val="006A44E9"/>
    <w:rsid w:val="006A5631"/>
    <w:rsid w:val="006A5CCD"/>
    <w:rsid w:val="006A70FD"/>
    <w:rsid w:val="006B0A6F"/>
    <w:rsid w:val="006B47D8"/>
    <w:rsid w:val="006B4B4A"/>
    <w:rsid w:val="006B5FB3"/>
    <w:rsid w:val="006B6915"/>
    <w:rsid w:val="006C057E"/>
    <w:rsid w:val="006C4F64"/>
    <w:rsid w:val="006C5297"/>
    <w:rsid w:val="006C5635"/>
    <w:rsid w:val="006C6155"/>
    <w:rsid w:val="006C7461"/>
    <w:rsid w:val="006C7838"/>
    <w:rsid w:val="006D0F9D"/>
    <w:rsid w:val="006D1763"/>
    <w:rsid w:val="006D19BD"/>
    <w:rsid w:val="006D2FAE"/>
    <w:rsid w:val="006D5E2E"/>
    <w:rsid w:val="006D6E37"/>
    <w:rsid w:val="006E2821"/>
    <w:rsid w:val="006E2F05"/>
    <w:rsid w:val="006E6CE5"/>
    <w:rsid w:val="006F0140"/>
    <w:rsid w:val="006F09E7"/>
    <w:rsid w:val="006F172B"/>
    <w:rsid w:val="006F38C6"/>
    <w:rsid w:val="006F7545"/>
    <w:rsid w:val="006F7BA6"/>
    <w:rsid w:val="006F7EE7"/>
    <w:rsid w:val="007007E3"/>
    <w:rsid w:val="00700DA1"/>
    <w:rsid w:val="00701155"/>
    <w:rsid w:val="007041D7"/>
    <w:rsid w:val="007062B1"/>
    <w:rsid w:val="00706806"/>
    <w:rsid w:val="00707979"/>
    <w:rsid w:val="00707C7C"/>
    <w:rsid w:val="00711A3B"/>
    <w:rsid w:val="00712B80"/>
    <w:rsid w:val="00717EA1"/>
    <w:rsid w:val="00720764"/>
    <w:rsid w:val="00721EA5"/>
    <w:rsid w:val="0072268A"/>
    <w:rsid w:val="007227CC"/>
    <w:rsid w:val="00723501"/>
    <w:rsid w:val="00723F31"/>
    <w:rsid w:val="00725E37"/>
    <w:rsid w:val="00726C27"/>
    <w:rsid w:val="00727B5A"/>
    <w:rsid w:val="00730D27"/>
    <w:rsid w:val="007315BC"/>
    <w:rsid w:val="00734BDC"/>
    <w:rsid w:val="00735229"/>
    <w:rsid w:val="0073633E"/>
    <w:rsid w:val="0073652F"/>
    <w:rsid w:val="007372BE"/>
    <w:rsid w:val="007404F1"/>
    <w:rsid w:val="00741D14"/>
    <w:rsid w:val="00742532"/>
    <w:rsid w:val="00743598"/>
    <w:rsid w:val="00744D9B"/>
    <w:rsid w:val="007457BE"/>
    <w:rsid w:val="0074620E"/>
    <w:rsid w:val="007502C1"/>
    <w:rsid w:val="00752210"/>
    <w:rsid w:val="00752C5F"/>
    <w:rsid w:val="00754D8C"/>
    <w:rsid w:val="007553C6"/>
    <w:rsid w:val="007556BB"/>
    <w:rsid w:val="007573AF"/>
    <w:rsid w:val="00757C17"/>
    <w:rsid w:val="007609B6"/>
    <w:rsid w:val="00761D8D"/>
    <w:rsid w:val="007636AD"/>
    <w:rsid w:val="007636DB"/>
    <w:rsid w:val="00765BB5"/>
    <w:rsid w:val="007661B4"/>
    <w:rsid w:val="00770004"/>
    <w:rsid w:val="00770038"/>
    <w:rsid w:val="007729B3"/>
    <w:rsid w:val="0077402E"/>
    <w:rsid w:val="007757AD"/>
    <w:rsid w:val="00781481"/>
    <w:rsid w:val="0078299C"/>
    <w:rsid w:val="00783405"/>
    <w:rsid w:val="00785CBA"/>
    <w:rsid w:val="00786D67"/>
    <w:rsid w:val="00787D57"/>
    <w:rsid w:val="0079040C"/>
    <w:rsid w:val="007917C5"/>
    <w:rsid w:val="00791D8E"/>
    <w:rsid w:val="00792C61"/>
    <w:rsid w:val="00794AB5"/>
    <w:rsid w:val="007A061D"/>
    <w:rsid w:val="007A11EF"/>
    <w:rsid w:val="007A1524"/>
    <w:rsid w:val="007A2590"/>
    <w:rsid w:val="007A3DC9"/>
    <w:rsid w:val="007A46A8"/>
    <w:rsid w:val="007A5C6D"/>
    <w:rsid w:val="007A61F7"/>
    <w:rsid w:val="007A72CF"/>
    <w:rsid w:val="007A7DAD"/>
    <w:rsid w:val="007B2150"/>
    <w:rsid w:val="007B3D40"/>
    <w:rsid w:val="007B4A23"/>
    <w:rsid w:val="007B5782"/>
    <w:rsid w:val="007B72F2"/>
    <w:rsid w:val="007B7C61"/>
    <w:rsid w:val="007C10C4"/>
    <w:rsid w:val="007C36A5"/>
    <w:rsid w:val="007C4804"/>
    <w:rsid w:val="007D0315"/>
    <w:rsid w:val="007D2965"/>
    <w:rsid w:val="007D4548"/>
    <w:rsid w:val="007D4DF0"/>
    <w:rsid w:val="007D4EC9"/>
    <w:rsid w:val="007D542F"/>
    <w:rsid w:val="007E2493"/>
    <w:rsid w:val="007E2D20"/>
    <w:rsid w:val="007E36E6"/>
    <w:rsid w:val="007E398A"/>
    <w:rsid w:val="007E3C5E"/>
    <w:rsid w:val="007E6592"/>
    <w:rsid w:val="007E66E0"/>
    <w:rsid w:val="007E6E50"/>
    <w:rsid w:val="007E7C4F"/>
    <w:rsid w:val="007F4ADF"/>
    <w:rsid w:val="007F5C84"/>
    <w:rsid w:val="0080186C"/>
    <w:rsid w:val="00803E5D"/>
    <w:rsid w:val="00806C7D"/>
    <w:rsid w:val="0080751B"/>
    <w:rsid w:val="00807AEC"/>
    <w:rsid w:val="00807B0D"/>
    <w:rsid w:val="00813EF5"/>
    <w:rsid w:val="008159D2"/>
    <w:rsid w:val="008162E5"/>
    <w:rsid w:val="00817026"/>
    <w:rsid w:val="008214F2"/>
    <w:rsid w:val="00822580"/>
    <w:rsid w:val="00823081"/>
    <w:rsid w:val="008241BB"/>
    <w:rsid w:val="0082498E"/>
    <w:rsid w:val="0082600B"/>
    <w:rsid w:val="0082638F"/>
    <w:rsid w:val="008263EA"/>
    <w:rsid w:val="0083000E"/>
    <w:rsid w:val="0083012A"/>
    <w:rsid w:val="00831BF6"/>
    <w:rsid w:val="00831F59"/>
    <w:rsid w:val="00834B14"/>
    <w:rsid w:val="00835290"/>
    <w:rsid w:val="00835D80"/>
    <w:rsid w:val="00837549"/>
    <w:rsid w:val="00837637"/>
    <w:rsid w:val="00837C47"/>
    <w:rsid w:val="00840D19"/>
    <w:rsid w:val="00841082"/>
    <w:rsid w:val="0084186F"/>
    <w:rsid w:val="00844F51"/>
    <w:rsid w:val="00846A67"/>
    <w:rsid w:val="00851BF1"/>
    <w:rsid w:val="0085404F"/>
    <w:rsid w:val="008562BB"/>
    <w:rsid w:val="00866011"/>
    <w:rsid w:val="00870FAD"/>
    <w:rsid w:val="00873930"/>
    <w:rsid w:val="00875408"/>
    <w:rsid w:val="00875CB8"/>
    <w:rsid w:val="008762EF"/>
    <w:rsid w:val="00877885"/>
    <w:rsid w:val="0088206E"/>
    <w:rsid w:val="00882656"/>
    <w:rsid w:val="00882860"/>
    <w:rsid w:val="0088458B"/>
    <w:rsid w:val="00884CC1"/>
    <w:rsid w:val="00885DA2"/>
    <w:rsid w:val="0088632C"/>
    <w:rsid w:val="00886544"/>
    <w:rsid w:val="00887A50"/>
    <w:rsid w:val="00890DF1"/>
    <w:rsid w:val="008915E1"/>
    <w:rsid w:val="00892A70"/>
    <w:rsid w:val="00892D93"/>
    <w:rsid w:val="0089311B"/>
    <w:rsid w:val="00893E6A"/>
    <w:rsid w:val="008962FB"/>
    <w:rsid w:val="00896B7C"/>
    <w:rsid w:val="008973CA"/>
    <w:rsid w:val="008A3F24"/>
    <w:rsid w:val="008A67CA"/>
    <w:rsid w:val="008A6D95"/>
    <w:rsid w:val="008A7D47"/>
    <w:rsid w:val="008B1B59"/>
    <w:rsid w:val="008B2D42"/>
    <w:rsid w:val="008B2F20"/>
    <w:rsid w:val="008B45AA"/>
    <w:rsid w:val="008B4A79"/>
    <w:rsid w:val="008B5253"/>
    <w:rsid w:val="008B583E"/>
    <w:rsid w:val="008B68C7"/>
    <w:rsid w:val="008B6B03"/>
    <w:rsid w:val="008B77E6"/>
    <w:rsid w:val="008C0F8D"/>
    <w:rsid w:val="008C20F7"/>
    <w:rsid w:val="008C32A2"/>
    <w:rsid w:val="008C3664"/>
    <w:rsid w:val="008C39A2"/>
    <w:rsid w:val="008C42D0"/>
    <w:rsid w:val="008C43DE"/>
    <w:rsid w:val="008C4B12"/>
    <w:rsid w:val="008C5E5E"/>
    <w:rsid w:val="008D1796"/>
    <w:rsid w:val="008D4B07"/>
    <w:rsid w:val="008D51AC"/>
    <w:rsid w:val="008D6370"/>
    <w:rsid w:val="008D7494"/>
    <w:rsid w:val="008E74F7"/>
    <w:rsid w:val="008E7EA1"/>
    <w:rsid w:val="008F5805"/>
    <w:rsid w:val="008F6C79"/>
    <w:rsid w:val="00900475"/>
    <w:rsid w:val="0090079C"/>
    <w:rsid w:val="009039F7"/>
    <w:rsid w:val="0090405D"/>
    <w:rsid w:val="00904D90"/>
    <w:rsid w:val="00910D5A"/>
    <w:rsid w:val="00913D49"/>
    <w:rsid w:val="009143C6"/>
    <w:rsid w:val="009162AB"/>
    <w:rsid w:val="009205EC"/>
    <w:rsid w:val="00920C24"/>
    <w:rsid w:val="009211DE"/>
    <w:rsid w:val="0092308A"/>
    <w:rsid w:val="00924570"/>
    <w:rsid w:val="00926200"/>
    <w:rsid w:val="00930C16"/>
    <w:rsid w:val="0093161F"/>
    <w:rsid w:val="00933E90"/>
    <w:rsid w:val="0093404B"/>
    <w:rsid w:val="0093443D"/>
    <w:rsid w:val="00934887"/>
    <w:rsid w:val="009351BF"/>
    <w:rsid w:val="00941861"/>
    <w:rsid w:val="00943882"/>
    <w:rsid w:val="00945426"/>
    <w:rsid w:val="009478E5"/>
    <w:rsid w:val="00953D10"/>
    <w:rsid w:val="00953D28"/>
    <w:rsid w:val="00953D56"/>
    <w:rsid w:val="0095521A"/>
    <w:rsid w:val="00961BB4"/>
    <w:rsid w:val="009626BC"/>
    <w:rsid w:val="0096288F"/>
    <w:rsid w:val="00962BD4"/>
    <w:rsid w:val="00962FDB"/>
    <w:rsid w:val="0096416A"/>
    <w:rsid w:val="0096433A"/>
    <w:rsid w:val="0096608E"/>
    <w:rsid w:val="0096674F"/>
    <w:rsid w:val="0097052C"/>
    <w:rsid w:val="00970DDC"/>
    <w:rsid w:val="009716A9"/>
    <w:rsid w:val="009716F1"/>
    <w:rsid w:val="00971BE6"/>
    <w:rsid w:val="00973483"/>
    <w:rsid w:val="009763E7"/>
    <w:rsid w:val="00976ACE"/>
    <w:rsid w:val="00976C60"/>
    <w:rsid w:val="009774A6"/>
    <w:rsid w:val="00977E4A"/>
    <w:rsid w:val="0098171D"/>
    <w:rsid w:val="00982358"/>
    <w:rsid w:val="009837B6"/>
    <w:rsid w:val="009838CC"/>
    <w:rsid w:val="0098539F"/>
    <w:rsid w:val="00985A69"/>
    <w:rsid w:val="00992DA0"/>
    <w:rsid w:val="00992F67"/>
    <w:rsid w:val="00995178"/>
    <w:rsid w:val="00995D45"/>
    <w:rsid w:val="009A0579"/>
    <w:rsid w:val="009A2C13"/>
    <w:rsid w:val="009A5789"/>
    <w:rsid w:val="009A7BA8"/>
    <w:rsid w:val="009B04B8"/>
    <w:rsid w:val="009B1A78"/>
    <w:rsid w:val="009B3527"/>
    <w:rsid w:val="009B45BE"/>
    <w:rsid w:val="009B62F1"/>
    <w:rsid w:val="009C13C3"/>
    <w:rsid w:val="009C261D"/>
    <w:rsid w:val="009C53BF"/>
    <w:rsid w:val="009D0A1B"/>
    <w:rsid w:val="009D2169"/>
    <w:rsid w:val="009D381E"/>
    <w:rsid w:val="009D4EF1"/>
    <w:rsid w:val="009D6F3B"/>
    <w:rsid w:val="009D71C2"/>
    <w:rsid w:val="009D7C23"/>
    <w:rsid w:val="009E0563"/>
    <w:rsid w:val="009E2866"/>
    <w:rsid w:val="009E40F3"/>
    <w:rsid w:val="009E56C6"/>
    <w:rsid w:val="009E575E"/>
    <w:rsid w:val="009E5E20"/>
    <w:rsid w:val="009E78B1"/>
    <w:rsid w:val="009E7E72"/>
    <w:rsid w:val="009F1224"/>
    <w:rsid w:val="009F1899"/>
    <w:rsid w:val="009F6448"/>
    <w:rsid w:val="009F6677"/>
    <w:rsid w:val="009F6E73"/>
    <w:rsid w:val="009F73A0"/>
    <w:rsid w:val="00A01C02"/>
    <w:rsid w:val="00A01D0C"/>
    <w:rsid w:val="00A057DC"/>
    <w:rsid w:val="00A05E7C"/>
    <w:rsid w:val="00A062FD"/>
    <w:rsid w:val="00A06FCC"/>
    <w:rsid w:val="00A0798E"/>
    <w:rsid w:val="00A1115D"/>
    <w:rsid w:val="00A138D1"/>
    <w:rsid w:val="00A140BF"/>
    <w:rsid w:val="00A14B7F"/>
    <w:rsid w:val="00A14C66"/>
    <w:rsid w:val="00A15F24"/>
    <w:rsid w:val="00A17506"/>
    <w:rsid w:val="00A17AC1"/>
    <w:rsid w:val="00A203F8"/>
    <w:rsid w:val="00A2062F"/>
    <w:rsid w:val="00A207A5"/>
    <w:rsid w:val="00A21485"/>
    <w:rsid w:val="00A23F78"/>
    <w:rsid w:val="00A25200"/>
    <w:rsid w:val="00A2607D"/>
    <w:rsid w:val="00A279AD"/>
    <w:rsid w:val="00A303A9"/>
    <w:rsid w:val="00A30BF0"/>
    <w:rsid w:val="00A30CE4"/>
    <w:rsid w:val="00A325DF"/>
    <w:rsid w:val="00A32967"/>
    <w:rsid w:val="00A32A14"/>
    <w:rsid w:val="00A35CA4"/>
    <w:rsid w:val="00A40036"/>
    <w:rsid w:val="00A40770"/>
    <w:rsid w:val="00A4221C"/>
    <w:rsid w:val="00A425A1"/>
    <w:rsid w:val="00A431BB"/>
    <w:rsid w:val="00A46F8B"/>
    <w:rsid w:val="00A4789B"/>
    <w:rsid w:val="00A50498"/>
    <w:rsid w:val="00A50652"/>
    <w:rsid w:val="00A51065"/>
    <w:rsid w:val="00A531AD"/>
    <w:rsid w:val="00A54E42"/>
    <w:rsid w:val="00A55841"/>
    <w:rsid w:val="00A56066"/>
    <w:rsid w:val="00A56583"/>
    <w:rsid w:val="00A60AEC"/>
    <w:rsid w:val="00A614FE"/>
    <w:rsid w:val="00A65967"/>
    <w:rsid w:val="00A6680A"/>
    <w:rsid w:val="00A66B6C"/>
    <w:rsid w:val="00A66D63"/>
    <w:rsid w:val="00A66FB1"/>
    <w:rsid w:val="00A70243"/>
    <w:rsid w:val="00A70AD7"/>
    <w:rsid w:val="00A71C9C"/>
    <w:rsid w:val="00A776BE"/>
    <w:rsid w:val="00A84FF5"/>
    <w:rsid w:val="00A869EE"/>
    <w:rsid w:val="00A87D6D"/>
    <w:rsid w:val="00A90EA2"/>
    <w:rsid w:val="00A911F4"/>
    <w:rsid w:val="00A94258"/>
    <w:rsid w:val="00A94448"/>
    <w:rsid w:val="00A950E7"/>
    <w:rsid w:val="00AA11A9"/>
    <w:rsid w:val="00AA3C00"/>
    <w:rsid w:val="00AA3C6C"/>
    <w:rsid w:val="00AA4F87"/>
    <w:rsid w:val="00AA67C5"/>
    <w:rsid w:val="00AB10F4"/>
    <w:rsid w:val="00AB28EA"/>
    <w:rsid w:val="00AB2B55"/>
    <w:rsid w:val="00AB2B88"/>
    <w:rsid w:val="00AB408D"/>
    <w:rsid w:val="00AB708D"/>
    <w:rsid w:val="00AC1AC8"/>
    <w:rsid w:val="00AC4155"/>
    <w:rsid w:val="00AC5520"/>
    <w:rsid w:val="00AC5C1B"/>
    <w:rsid w:val="00AC6F46"/>
    <w:rsid w:val="00AC6FFF"/>
    <w:rsid w:val="00AC7809"/>
    <w:rsid w:val="00AD11EA"/>
    <w:rsid w:val="00AD1DFF"/>
    <w:rsid w:val="00AD36B8"/>
    <w:rsid w:val="00AD4A9C"/>
    <w:rsid w:val="00AD6AEC"/>
    <w:rsid w:val="00AD7349"/>
    <w:rsid w:val="00AE0B0C"/>
    <w:rsid w:val="00AE1C76"/>
    <w:rsid w:val="00AE23E2"/>
    <w:rsid w:val="00AE2550"/>
    <w:rsid w:val="00AE3694"/>
    <w:rsid w:val="00AE4EDE"/>
    <w:rsid w:val="00AE6016"/>
    <w:rsid w:val="00AE731C"/>
    <w:rsid w:val="00AF0D33"/>
    <w:rsid w:val="00AF1ADC"/>
    <w:rsid w:val="00AF2A0B"/>
    <w:rsid w:val="00AF2A82"/>
    <w:rsid w:val="00AF3B27"/>
    <w:rsid w:val="00AF3B94"/>
    <w:rsid w:val="00AF58E9"/>
    <w:rsid w:val="00AF7A2E"/>
    <w:rsid w:val="00B00DB5"/>
    <w:rsid w:val="00B01BCC"/>
    <w:rsid w:val="00B03684"/>
    <w:rsid w:val="00B03FD5"/>
    <w:rsid w:val="00B0588C"/>
    <w:rsid w:val="00B07AD9"/>
    <w:rsid w:val="00B107D1"/>
    <w:rsid w:val="00B17DC9"/>
    <w:rsid w:val="00B20101"/>
    <w:rsid w:val="00B20DF5"/>
    <w:rsid w:val="00B21215"/>
    <w:rsid w:val="00B21B57"/>
    <w:rsid w:val="00B223F8"/>
    <w:rsid w:val="00B2298A"/>
    <w:rsid w:val="00B230CB"/>
    <w:rsid w:val="00B24707"/>
    <w:rsid w:val="00B24E3C"/>
    <w:rsid w:val="00B263AC"/>
    <w:rsid w:val="00B26ACF"/>
    <w:rsid w:val="00B27432"/>
    <w:rsid w:val="00B31D21"/>
    <w:rsid w:val="00B321B6"/>
    <w:rsid w:val="00B35A30"/>
    <w:rsid w:val="00B35DAA"/>
    <w:rsid w:val="00B36B3D"/>
    <w:rsid w:val="00B37D17"/>
    <w:rsid w:val="00B4079E"/>
    <w:rsid w:val="00B44F96"/>
    <w:rsid w:val="00B45EC3"/>
    <w:rsid w:val="00B460F5"/>
    <w:rsid w:val="00B46534"/>
    <w:rsid w:val="00B47453"/>
    <w:rsid w:val="00B47923"/>
    <w:rsid w:val="00B50FE9"/>
    <w:rsid w:val="00B5257D"/>
    <w:rsid w:val="00B54E10"/>
    <w:rsid w:val="00B57892"/>
    <w:rsid w:val="00B62897"/>
    <w:rsid w:val="00B659A7"/>
    <w:rsid w:val="00B662EA"/>
    <w:rsid w:val="00B66A10"/>
    <w:rsid w:val="00B6747F"/>
    <w:rsid w:val="00B6777A"/>
    <w:rsid w:val="00B723AC"/>
    <w:rsid w:val="00B729E8"/>
    <w:rsid w:val="00B73A24"/>
    <w:rsid w:val="00B74997"/>
    <w:rsid w:val="00B74B05"/>
    <w:rsid w:val="00B754A2"/>
    <w:rsid w:val="00B75D9B"/>
    <w:rsid w:val="00B75DA7"/>
    <w:rsid w:val="00B77F74"/>
    <w:rsid w:val="00B81742"/>
    <w:rsid w:val="00B819DE"/>
    <w:rsid w:val="00B82BC9"/>
    <w:rsid w:val="00B83ABA"/>
    <w:rsid w:val="00B85F52"/>
    <w:rsid w:val="00B86C2E"/>
    <w:rsid w:val="00B86D81"/>
    <w:rsid w:val="00B874B3"/>
    <w:rsid w:val="00B90DD1"/>
    <w:rsid w:val="00B91D7B"/>
    <w:rsid w:val="00B935F1"/>
    <w:rsid w:val="00B95AAC"/>
    <w:rsid w:val="00B97C57"/>
    <w:rsid w:val="00BA07CD"/>
    <w:rsid w:val="00BA101D"/>
    <w:rsid w:val="00BA196D"/>
    <w:rsid w:val="00BA226C"/>
    <w:rsid w:val="00BA2A91"/>
    <w:rsid w:val="00BA2B24"/>
    <w:rsid w:val="00BA2BFC"/>
    <w:rsid w:val="00BA3092"/>
    <w:rsid w:val="00BA348F"/>
    <w:rsid w:val="00BA37F7"/>
    <w:rsid w:val="00BA6706"/>
    <w:rsid w:val="00BA70CB"/>
    <w:rsid w:val="00BA76C1"/>
    <w:rsid w:val="00BA78DD"/>
    <w:rsid w:val="00BA7C22"/>
    <w:rsid w:val="00BB09C3"/>
    <w:rsid w:val="00BB1C66"/>
    <w:rsid w:val="00BB42DD"/>
    <w:rsid w:val="00BB4F2B"/>
    <w:rsid w:val="00BC1087"/>
    <w:rsid w:val="00BC2745"/>
    <w:rsid w:val="00BC3188"/>
    <w:rsid w:val="00BC3269"/>
    <w:rsid w:val="00BC5CFA"/>
    <w:rsid w:val="00BC7564"/>
    <w:rsid w:val="00BC7F1D"/>
    <w:rsid w:val="00BD0518"/>
    <w:rsid w:val="00BD05BE"/>
    <w:rsid w:val="00BD0C23"/>
    <w:rsid w:val="00BD3C27"/>
    <w:rsid w:val="00BD488B"/>
    <w:rsid w:val="00BD4E82"/>
    <w:rsid w:val="00BD5545"/>
    <w:rsid w:val="00BD72FB"/>
    <w:rsid w:val="00BE19B4"/>
    <w:rsid w:val="00BE2B9F"/>
    <w:rsid w:val="00BE342D"/>
    <w:rsid w:val="00BE55CD"/>
    <w:rsid w:val="00BE7D05"/>
    <w:rsid w:val="00BF154B"/>
    <w:rsid w:val="00BF3C4D"/>
    <w:rsid w:val="00BF3D22"/>
    <w:rsid w:val="00BF3E37"/>
    <w:rsid w:val="00BF509A"/>
    <w:rsid w:val="00C01E20"/>
    <w:rsid w:val="00C02944"/>
    <w:rsid w:val="00C04A87"/>
    <w:rsid w:val="00C04D6E"/>
    <w:rsid w:val="00C07617"/>
    <w:rsid w:val="00C1152A"/>
    <w:rsid w:val="00C12238"/>
    <w:rsid w:val="00C207DE"/>
    <w:rsid w:val="00C264F9"/>
    <w:rsid w:val="00C26CF2"/>
    <w:rsid w:val="00C314CB"/>
    <w:rsid w:val="00C3705C"/>
    <w:rsid w:val="00C4086C"/>
    <w:rsid w:val="00C413B8"/>
    <w:rsid w:val="00C41E40"/>
    <w:rsid w:val="00C42F70"/>
    <w:rsid w:val="00C43C87"/>
    <w:rsid w:val="00C44AA3"/>
    <w:rsid w:val="00C452DE"/>
    <w:rsid w:val="00C45392"/>
    <w:rsid w:val="00C45C1C"/>
    <w:rsid w:val="00C47267"/>
    <w:rsid w:val="00C47AF7"/>
    <w:rsid w:val="00C5055D"/>
    <w:rsid w:val="00C50ED8"/>
    <w:rsid w:val="00C52336"/>
    <w:rsid w:val="00C52F56"/>
    <w:rsid w:val="00C541EA"/>
    <w:rsid w:val="00C553C5"/>
    <w:rsid w:val="00C55A8F"/>
    <w:rsid w:val="00C55BF8"/>
    <w:rsid w:val="00C55EE2"/>
    <w:rsid w:val="00C565D5"/>
    <w:rsid w:val="00C56833"/>
    <w:rsid w:val="00C6036B"/>
    <w:rsid w:val="00C61336"/>
    <w:rsid w:val="00C62F55"/>
    <w:rsid w:val="00C6383D"/>
    <w:rsid w:val="00C646A1"/>
    <w:rsid w:val="00C65729"/>
    <w:rsid w:val="00C65A21"/>
    <w:rsid w:val="00C70D33"/>
    <w:rsid w:val="00C712B7"/>
    <w:rsid w:val="00C73AE8"/>
    <w:rsid w:val="00C73B37"/>
    <w:rsid w:val="00C74024"/>
    <w:rsid w:val="00C741B2"/>
    <w:rsid w:val="00C750BF"/>
    <w:rsid w:val="00C7549E"/>
    <w:rsid w:val="00C77998"/>
    <w:rsid w:val="00C77AFA"/>
    <w:rsid w:val="00C80941"/>
    <w:rsid w:val="00C81AB7"/>
    <w:rsid w:val="00C8244F"/>
    <w:rsid w:val="00C85139"/>
    <w:rsid w:val="00C87BA2"/>
    <w:rsid w:val="00C901AE"/>
    <w:rsid w:val="00C937CA"/>
    <w:rsid w:val="00C95E88"/>
    <w:rsid w:val="00C9626F"/>
    <w:rsid w:val="00CA148C"/>
    <w:rsid w:val="00CA1A44"/>
    <w:rsid w:val="00CA5502"/>
    <w:rsid w:val="00CA5C83"/>
    <w:rsid w:val="00CA6AF8"/>
    <w:rsid w:val="00CB0342"/>
    <w:rsid w:val="00CB158D"/>
    <w:rsid w:val="00CB2596"/>
    <w:rsid w:val="00CB5310"/>
    <w:rsid w:val="00CB56D1"/>
    <w:rsid w:val="00CC0573"/>
    <w:rsid w:val="00CC3889"/>
    <w:rsid w:val="00CC47E0"/>
    <w:rsid w:val="00CC4ED5"/>
    <w:rsid w:val="00CC4FBC"/>
    <w:rsid w:val="00CC5F61"/>
    <w:rsid w:val="00CC601E"/>
    <w:rsid w:val="00CC6535"/>
    <w:rsid w:val="00CC6C1B"/>
    <w:rsid w:val="00CC71D3"/>
    <w:rsid w:val="00CD082B"/>
    <w:rsid w:val="00CD22A5"/>
    <w:rsid w:val="00CD3E0F"/>
    <w:rsid w:val="00CD5192"/>
    <w:rsid w:val="00CD6A16"/>
    <w:rsid w:val="00CE075D"/>
    <w:rsid w:val="00CE0D4E"/>
    <w:rsid w:val="00CE303B"/>
    <w:rsid w:val="00CE4171"/>
    <w:rsid w:val="00CE45B7"/>
    <w:rsid w:val="00CE5D9A"/>
    <w:rsid w:val="00CE633B"/>
    <w:rsid w:val="00CE6C16"/>
    <w:rsid w:val="00CE7DAF"/>
    <w:rsid w:val="00CF0DFE"/>
    <w:rsid w:val="00CF28B2"/>
    <w:rsid w:val="00CF412A"/>
    <w:rsid w:val="00CF4258"/>
    <w:rsid w:val="00CF53C9"/>
    <w:rsid w:val="00CF586E"/>
    <w:rsid w:val="00CF64A3"/>
    <w:rsid w:val="00D00525"/>
    <w:rsid w:val="00D03603"/>
    <w:rsid w:val="00D10A88"/>
    <w:rsid w:val="00D11AE7"/>
    <w:rsid w:val="00D14791"/>
    <w:rsid w:val="00D148F2"/>
    <w:rsid w:val="00D17AB7"/>
    <w:rsid w:val="00D17D19"/>
    <w:rsid w:val="00D20BED"/>
    <w:rsid w:val="00D22237"/>
    <w:rsid w:val="00D236FA"/>
    <w:rsid w:val="00D26FAF"/>
    <w:rsid w:val="00D275AB"/>
    <w:rsid w:val="00D30093"/>
    <w:rsid w:val="00D3066F"/>
    <w:rsid w:val="00D31E58"/>
    <w:rsid w:val="00D34FC7"/>
    <w:rsid w:val="00D35032"/>
    <w:rsid w:val="00D3555D"/>
    <w:rsid w:val="00D36C8D"/>
    <w:rsid w:val="00D40549"/>
    <w:rsid w:val="00D41702"/>
    <w:rsid w:val="00D432AC"/>
    <w:rsid w:val="00D43E65"/>
    <w:rsid w:val="00D44670"/>
    <w:rsid w:val="00D44F82"/>
    <w:rsid w:val="00D46BF1"/>
    <w:rsid w:val="00D46EEE"/>
    <w:rsid w:val="00D501E4"/>
    <w:rsid w:val="00D50A9C"/>
    <w:rsid w:val="00D51450"/>
    <w:rsid w:val="00D515DA"/>
    <w:rsid w:val="00D51600"/>
    <w:rsid w:val="00D516BB"/>
    <w:rsid w:val="00D51B0D"/>
    <w:rsid w:val="00D543D1"/>
    <w:rsid w:val="00D54793"/>
    <w:rsid w:val="00D55A39"/>
    <w:rsid w:val="00D56505"/>
    <w:rsid w:val="00D628E5"/>
    <w:rsid w:val="00D64B38"/>
    <w:rsid w:val="00D658D0"/>
    <w:rsid w:val="00D65EBD"/>
    <w:rsid w:val="00D66F36"/>
    <w:rsid w:val="00D66F9A"/>
    <w:rsid w:val="00D67AAF"/>
    <w:rsid w:val="00D778B5"/>
    <w:rsid w:val="00D80C91"/>
    <w:rsid w:val="00D81139"/>
    <w:rsid w:val="00D82A9D"/>
    <w:rsid w:val="00D85468"/>
    <w:rsid w:val="00D8585F"/>
    <w:rsid w:val="00D866A1"/>
    <w:rsid w:val="00D8729B"/>
    <w:rsid w:val="00D902FA"/>
    <w:rsid w:val="00D9070E"/>
    <w:rsid w:val="00D911E9"/>
    <w:rsid w:val="00D91ECB"/>
    <w:rsid w:val="00D932D4"/>
    <w:rsid w:val="00D93D99"/>
    <w:rsid w:val="00D9440C"/>
    <w:rsid w:val="00D94E8A"/>
    <w:rsid w:val="00D951F9"/>
    <w:rsid w:val="00D95236"/>
    <w:rsid w:val="00DA0A8E"/>
    <w:rsid w:val="00DA145F"/>
    <w:rsid w:val="00DA1D4C"/>
    <w:rsid w:val="00DA28F2"/>
    <w:rsid w:val="00DA4A81"/>
    <w:rsid w:val="00DA56AA"/>
    <w:rsid w:val="00DA6825"/>
    <w:rsid w:val="00DA6880"/>
    <w:rsid w:val="00DA7D91"/>
    <w:rsid w:val="00DB4187"/>
    <w:rsid w:val="00DB48E9"/>
    <w:rsid w:val="00DB514F"/>
    <w:rsid w:val="00DB705A"/>
    <w:rsid w:val="00DC375E"/>
    <w:rsid w:val="00DC513A"/>
    <w:rsid w:val="00DC53C1"/>
    <w:rsid w:val="00DC56B7"/>
    <w:rsid w:val="00DC790D"/>
    <w:rsid w:val="00DD2382"/>
    <w:rsid w:val="00DD4726"/>
    <w:rsid w:val="00DD4B04"/>
    <w:rsid w:val="00DD75BB"/>
    <w:rsid w:val="00DD78DE"/>
    <w:rsid w:val="00DE1A9C"/>
    <w:rsid w:val="00DE1EA4"/>
    <w:rsid w:val="00DE1F33"/>
    <w:rsid w:val="00DE2C82"/>
    <w:rsid w:val="00DE2E40"/>
    <w:rsid w:val="00DE31E7"/>
    <w:rsid w:val="00DE48D3"/>
    <w:rsid w:val="00DE4FD3"/>
    <w:rsid w:val="00DE70FA"/>
    <w:rsid w:val="00DE74B5"/>
    <w:rsid w:val="00DE7771"/>
    <w:rsid w:val="00DE7CC8"/>
    <w:rsid w:val="00DF09A2"/>
    <w:rsid w:val="00DF187A"/>
    <w:rsid w:val="00DF35DE"/>
    <w:rsid w:val="00DF3FEA"/>
    <w:rsid w:val="00DF4056"/>
    <w:rsid w:val="00DF558A"/>
    <w:rsid w:val="00DF605B"/>
    <w:rsid w:val="00DF75F7"/>
    <w:rsid w:val="00DF76D2"/>
    <w:rsid w:val="00E00BD9"/>
    <w:rsid w:val="00E01BDD"/>
    <w:rsid w:val="00E02018"/>
    <w:rsid w:val="00E02180"/>
    <w:rsid w:val="00E04DA6"/>
    <w:rsid w:val="00E10840"/>
    <w:rsid w:val="00E10D31"/>
    <w:rsid w:val="00E119A8"/>
    <w:rsid w:val="00E130E4"/>
    <w:rsid w:val="00E13EB5"/>
    <w:rsid w:val="00E1637C"/>
    <w:rsid w:val="00E22B1B"/>
    <w:rsid w:val="00E22F12"/>
    <w:rsid w:val="00E232DB"/>
    <w:rsid w:val="00E233EE"/>
    <w:rsid w:val="00E23CB3"/>
    <w:rsid w:val="00E25511"/>
    <w:rsid w:val="00E25942"/>
    <w:rsid w:val="00E26C9B"/>
    <w:rsid w:val="00E274FB"/>
    <w:rsid w:val="00E2799C"/>
    <w:rsid w:val="00E32826"/>
    <w:rsid w:val="00E32EDA"/>
    <w:rsid w:val="00E32EF3"/>
    <w:rsid w:val="00E34629"/>
    <w:rsid w:val="00E348ED"/>
    <w:rsid w:val="00E3577D"/>
    <w:rsid w:val="00E37D74"/>
    <w:rsid w:val="00E4262F"/>
    <w:rsid w:val="00E4485A"/>
    <w:rsid w:val="00E44B04"/>
    <w:rsid w:val="00E44DE8"/>
    <w:rsid w:val="00E4616F"/>
    <w:rsid w:val="00E5315E"/>
    <w:rsid w:val="00E53909"/>
    <w:rsid w:val="00E545F2"/>
    <w:rsid w:val="00E61E55"/>
    <w:rsid w:val="00E62591"/>
    <w:rsid w:val="00E62F6A"/>
    <w:rsid w:val="00E63031"/>
    <w:rsid w:val="00E63C4E"/>
    <w:rsid w:val="00E67059"/>
    <w:rsid w:val="00E7442C"/>
    <w:rsid w:val="00E7499E"/>
    <w:rsid w:val="00E74DA8"/>
    <w:rsid w:val="00E76384"/>
    <w:rsid w:val="00E80083"/>
    <w:rsid w:val="00E805DF"/>
    <w:rsid w:val="00E818A1"/>
    <w:rsid w:val="00E8338F"/>
    <w:rsid w:val="00E839D6"/>
    <w:rsid w:val="00E842D8"/>
    <w:rsid w:val="00E8472B"/>
    <w:rsid w:val="00E8567F"/>
    <w:rsid w:val="00E866F2"/>
    <w:rsid w:val="00E90DA1"/>
    <w:rsid w:val="00E916AA"/>
    <w:rsid w:val="00E91996"/>
    <w:rsid w:val="00E94BB2"/>
    <w:rsid w:val="00E95386"/>
    <w:rsid w:val="00E96290"/>
    <w:rsid w:val="00E97647"/>
    <w:rsid w:val="00EA0438"/>
    <w:rsid w:val="00EA1047"/>
    <w:rsid w:val="00EA17CC"/>
    <w:rsid w:val="00EA2287"/>
    <w:rsid w:val="00EA2805"/>
    <w:rsid w:val="00EA34A7"/>
    <w:rsid w:val="00EA3AD1"/>
    <w:rsid w:val="00EA5064"/>
    <w:rsid w:val="00EA68A4"/>
    <w:rsid w:val="00EB0DDC"/>
    <w:rsid w:val="00EB25F3"/>
    <w:rsid w:val="00EB3596"/>
    <w:rsid w:val="00EB602F"/>
    <w:rsid w:val="00EB6ED6"/>
    <w:rsid w:val="00EC054E"/>
    <w:rsid w:val="00EC3AF5"/>
    <w:rsid w:val="00EC3ECD"/>
    <w:rsid w:val="00EC5BA7"/>
    <w:rsid w:val="00EC7773"/>
    <w:rsid w:val="00ED000C"/>
    <w:rsid w:val="00ED1F82"/>
    <w:rsid w:val="00ED2A99"/>
    <w:rsid w:val="00ED2BEA"/>
    <w:rsid w:val="00ED3645"/>
    <w:rsid w:val="00ED37E4"/>
    <w:rsid w:val="00ED4D24"/>
    <w:rsid w:val="00ED5563"/>
    <w:rsid w:val="00ED6ECB"/>
    <w:rsid w:val="00EE4246"/>
    <w:rsid w:val="00EE5F25"/>
    <w:rsid w:val="00EE7674"/>
    <w:rsid w:val="00EE78F3"/>
    <w:rsid w:val="00EF04E6"/>
    <w:rsid w:val="00EF114A"/>
    <w:rsid w:val="00EF1579"/>
    <w:rsid w:val="00EF164F"/>
    <w:rsid w:val="00EF65C3"/>
    <w:rsid w:val="00F0011C"/>
    <w:rsid w:val="00F011F6"/>
    <w:rsid w:val="00F016C8"/>
    <w:rsid w:val="00F01E67"/>
    <w:rsid w:val="00F045E6"/>
    <w:rsid w:val="00F0526D"/>
    <w:rsid w:val="00F056CB"/>
    <w:rsid w:val="00F062CE"/>
    <w:rsid w:val="00F069AF"/>
    <w:rsid w:val="00F10F89"/>
    <w:rsid w:val="00F11AA8"/>
    <w:rsid w:val="00F12ECB"/>
    <w:rsid w:val="00F14A00"/>
    <w:rsid w:val="00F14FEE"/>
    <w:rsid w:val="00F176AE"/>
    <w:rsid w:val="00F22499"/>
    <w:rsid w:val="00F2259C"/>
    <w:rsid w:val="00F22D08"/>
    <w:rsid w:val="00F22FAB"/>
    <w:rsid w:val="00F247D6"/>
    <w:rsid w:val="00F24D53"/>
    <w:rsid w:val="00F25700"/>
    <w:rsid w:val="00F26E00"/>
    <w:rsid w:val="00F2748B"/>
    <w:rsid w:val="00F33056"/>
    <w:rsid w:val="00F34296"/>
    <w:rsid w:val="00F36666"/>
    <w:rsid w:val="00F36F99"/>
    <w:rsid w:val="00F40BD9"/>
    <w:rsid w:val="00F436F1"/>
    <w:rsid w:val="00F43C54"/>
    <w:rsid w:val="00F443C4"/>
    <w:rsid w:val="00F44742"/>
    <w:rsid w:val="00F4514F"/>
    <w:rsid w:val="00F4582C"/>
    <w:rsid w:val="00F47C63"/>
    <w:rsid w:val="00F50AB0"/>
    <w:rsid w:val="00F50C7A"/>
    <w:rsid w:val="00F50DF8"/>
    <w:rsid w:val="00F51C81"/>
    <w:rsid w:val="00F52A43"/>
    <w:rsid w:val="00F53D8D"/>
    <w:rsid w:val="00F5428E"/>
    <w:rsid w:val="00F54D00"/>
    <w:rsid w:val="00F559D9"/>
    <w:rsid w:val="00F56709"/>
    <w:rsid w:val="00F57E9C"/>
    <w:rsid w:val="00F60E6C"/>
    <w:rsid w:val="00F62899"/>
    <w:rsid w:val="00F64726"/>
    <w:rsid w:val="00F67ACA"/>
    <w:rsid w:val="00F701A7"/>
    <w:rsid w:val="00F71FD9"/>
    <w:rsid w:val="00F74413"/>
    <w:rsid w:val="00F753D8"/>
    <w:rsid w:val="00F754DD"/>
    <w:rsid w:val="00F75B1F"/>
    <w:rsid w:val="00F75D46"/>
    <w:rsid w:val="00F7698E"/>
    <w:rsid w:val="00F81303"/>
    <w:rsid w:val="00F82512"/>
    <w:rsid w:val="00F83605"/>
    <w:rsid w:val="00F83EA4"/>
    <w:rsid w:val="00F8505E"/>
    <w:rsid w:val="00F86779"/>
    <w:rsid w:val="00F86A8D"/>
    <w:rsid w:val="00F87B79"/>
    <w:rsid w:val="00F90A28"/>
    <w:rsid w:val="00F91EC7"/>
    <w:rsid w:val="00F9406E"/>
    <w:rsid w:val="00F95999"/>
    <w:rsid w:val="00FA0C53"/>
    <w:rsid w:val="00FA147C"/>
    <w:rsid w:val="00FA1C2E"/>
    <w:rsid w:val="00FA32E2"/>
    <w:rsid w:val="00FA4E2A"/>
    <w:rsid w:val="00FA527B"/>
    <w:rsid w:val="00FA5EB4"/>
    <w:rsid w:val="00FA6CD3"/>
    <w:rsid w:val="00FB1135"/>
    <w:rsid w:val="00FB6747"/>
    <w:rsid w:val="00FB7B7D"/>
    <w:rsid w:val="00FB7DB0"/>
    <w:rsid w:val="00FC5D6E"/>
    <w:rsid w:val="00FC6CBC"/>
    <w:rsid w:val="00FC7778"/>
    <w:rsid w:val="00FD00A1"/>
    <w:rsid w:val="00FD6BB9"/>
    <w:rsid w:val="00FE2FCD"/>
    <w:rsid w:val="00FE4703"/>
    <w:rsid w:val="00FE6124"/>
    <w:rsid w:val="00FE6BE6"/>
    <w:rsid w:val="00FE7BA3"/>
    <w:rsid w:val="00FF2048"/>
    <w:rsid w:val="00FF39B3"/>
    <w:rsid w:val="00FF65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1B8E8"/>
  <w15:docId w15:val="{C6C4FF95-42BD-4478-878C-4634A4F3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3889"/>
    <w:pPr>
      <w:keepNext/>
      <w:spacing w:after="0" w:line="380" w:lineRule="exact"/>
      <w:jc w:val="center"/>
      <w:outlineLvl w:val="0"/>
    </w:pPr>
    <w:rPr>
      <w:rFonts w:ascii="Arial" w:eastAsia="Times New Roman" w:hAnsi="Arial" w:cs="Arial"/>
      <w:b/>
      <w:sz w:val="24"/>
      <w:szCs w:val="24"/>
      <w:u w:val="single"/>
      <w:lang w:bidi="fa-IR"/>
    </w:rPr>
  </w:style>
  <w:style w:type="paragraph" w:styleId="Heading2">
    <w:name w:val="heading 2"/>
    <w:basedOn w:val="Normal"/>
    <w:next w:val="Normal"/>
    <w:link w:val="Heading2Char"/>
    <w:uiPriority w:val="9"/>
    <w:semiHidden/>
    <w:unhideWhenUsed/>
    <w:qFormat/>
    <w:rsid w:val="002458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904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7DAF"/>
    <w:pPr>
      <w:spacing w:after="0" w:line="240" w:lineRule="auto"/>
      <w:jc w:val="center"/>
    </w:pPr>
    <w:rPr>
      <w:rFonts w:ascii="Times New Roman" w:eastAsia="Times New Roman" w:hAnsi="Times New Roman" w:cs="Traditional Arabic"/>
      <w:sz w:val="24"/>
      <w:szCs w:val="24"/>
    </w:rPr>
  </w:style>
  <w:style w:type="character" w:customStyle="1" w:styleId="TitleChar">
    <w:name w:val="Title Char"/>
    <w:basedOn w:val="DefaultParagraphFont"/>
    <w:link w:val="Title"/>
    <w:rsid w:val="00CE7DAF"/>
    <w:rPr>
      <w:rFonts w:ascii="Times New Roman" w:eastAsia="Times New Roman" w:hAnsi="Times New Roman" w:cs="Traditional Arabic"/>
      <w:sz w:val="24"/>
      <w:szCs w:val="24"/>
    </w:rPr>
  </w:style>
  <w:style w:type="paragraph" w:styleId="ListParagraph">
    <w:name w:val="List Paragraph"/>
    <w:basedOn w:val="Normal"/>
    <w:uiPriority w:val="34"/>
    <w:qFormat/>
    <w:rsid w:val="002551E5"/>
    <w:pPr>
      <w:ind w:left="720"/>
      <w:contextualSpacing/>
    </w:pPr>
  </w:style>
  <w:style w:type="character" w:customStyle="1" w:styleId="shorttext">
    <w:name w:val="short_text"/>
    <w:basedOn w:val="DefaultParagraphFont"/>
    <w:rsid w:val="00DE2C82"/>
  </w:style>
  <w:style w:type="character" w:customStyle="1" w:styleId="hps">
    <w:name w:val="hps"/>
    <w:basedOn w:val="DefaultParagraphFont"/>
    <w:rsid w:val="004E0452"/>
  </w:style>
  <w:style w:type="table" w:styleId="TableGrid">
    <w:name w:val="Table Grid"/>
    <w:basedOn w:val="TableNormal"/>
    <w:uiPriority w:val="59"/>
    <w:rsid w:val="004E0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t-edited">
    <w:name w:val="alt-edited"/>
    <w:basedOn w:val="DefaultParagraphFont"/>
    <w:rsid w:val="0058777E"/>
  </w:style>
  <w:style w:type="character" w:customStyle="1" w:styleId="Heading1Char">
    <w:name w:val="Heading 1 Char"/>
    <w:basedOn w:val="DefaultParagraphFont"/>
    <w:link w:val="Heading1"/>
    <w:rsid w:val="00CC3889"/>
    <w:rPr>
      <w:rFonts w:ascii="Arial" w:eastAsia="Times New Roman" w:hAnsi="Arial" w:cs="Arial"/>
      <w:b/>
      <w:sz w:val="24"/>
      <w:szCs w:val="24"/>
      <w:u w:val="single"/>
      <w:lang w:bidi="fa-IR"/>
    </w:rPr>
  </w:style>
  <w:style w:type="character" w:customStyle="1" w:styleId="Heading2Char">
    <w:name w:val="Heading 2 Char"/>
    <w:basedOn w:val="DefaultParagraphFont"/>
    <w:link w:val="Heading2"/>
    <w:rsid w:val="0024583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3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6F"/>
    <w:rPr>
      <w:rFonts w:ascii="Tahoma" w:hAnsi="Tahoma" w:cs="Tahoma"/>
      <w:sz w:val="16"/>
      <w:szCs w:val="16"/>
    </w:rPr>
  </w:style>
  <w:style w:type="paragraph" w:styleId="Header">
    <w:name w:val="header"/>
    <w:basedOn w:val="Normal"/>
    <w:link w:val="HeaderChar"/>
    <w:uiPriority w:val="99"/>
    <w:unhideWhenUsed/>
    <w:rsid w:val="00CA6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F8"/>
  </w:style>
  <w:style w:type="paragraph" w:styleId="Footer">
    <w:name w:val="footer"/>
    <w:basedOn w:val="Normal"/>
    <w:link w:val="FooterChar"/>
    <w:uiPriority w:val="99"/>
    <w:unhideWhenUsed/>
    <w:rsid w:val="00CA6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F8"/>
  </w:style>
  <w:style w:type="character" w:customStyle="1" w:styleId="Heading4Char">
    <w:name w:val="Heading 4 Char"/>
    <w:basedOn w:val="DefaultParagraphFont"/>
    <w:link w:val="Heading4"/>
    <w:uiPriority w:val="9"/>
    <w:semiHidden/>
    <w:rsid w:val="0079040C"/>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79040C"/>
    <w:pPr>
      <w:widowControl w:val="0"/>
      <w:snapToGrid w:val="0"/>
      <w:spacing w:after="0" w:line="360" w:lineRule="auto"/>
      <w:jc w:val="center"/>
    </w:pPr>
    <w:rPr>
      <w:rFonts w:ascii="Arial" w:eastAsia="Times New Roman" w:hAnsi="Arial" w:cs="Times New Roman"/>
      <w:sz w:val="24"/>
      <w:szCs w:val="24"/>
      <w:lang w:val="x-none" w:eastAsia="x-none" w:bidi="fa-IR"/>
    </w:rPr>
  </w:style>
  <w:style w:type="character" w:customStyle="1" w:styleId="BodyTextChar">
    <w:name w:val="Body Text Char"/>
    <w:basedOn w:val="DefaultParagraphFont"/>
    <w:link w:val="BodyText"/>
    <w:semiHidden/>
    <w:rsid w:val="0079040C"/>
    <w:rPr>
      <w:rFonts w:ascii="Arial" w:eastAsia="Times New Roman" w:hAnsi="Arial" w:cs="Times New Roman"/>
      <w:sz w:val="24"/>
      <w:szCs w:val="24"/>
      <w:lang w:val="x-none" w:eastAsia="x-none" w:bidi="fa-IR"/>
    </w:rPr>
  </w:style>
  <w:style w:type="character" w:styleId="Hyperlink">
    <w:name w:val="Hyperlink"/>
    <w:basedOn w:val="DefaultParagraphFont"/>
    <w:uiPriority w:val="99"/>
    <w:unhideWhenUsed/>
    <w:rsid w:val="00ED5563"/>
    <w:rPr>
      <w:color w:val="0000FF" w:themeColor="hyperlink"/>
      <w:u w:val="single"/>
    </w:rPr>
  </w:style>
  <w:style w:type="character" w:customStyle="1" w:styleId="yhemcb">
    <w:name w:val="yhemcb"/>
    <w:basedOn w:val="DefaultParagraphFont"/>
    <w:rsid w:val="0088458B"/>
  </w:style>
  <w:style w:type="character" w:styleId="Strong">
    <w:name w:val="Strong"/>
    <w:basedOn w:val="DefaultParagraphFont"/>
    <w:uiPriority w:val="22"/>
    <w:qFormat/>
    <w:rsid w:val="00415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4695">
      <w:bodyDiv w:val="1"/>
      <w:marLeft w:val="0"/>
      <w:marRight w:val="0"/>
      <w:marTop w:val="0"/>
      <w:marBottom w:val="0"/>
      <w:divBdr>
        <w:top w:val="none" w:sz="0" w:space="0" w:color="auto"/>
        <w:left w:val="none" w:sz="0" w:space="0" w:color="auto"/>
        <w:bottom w:val="none" w:sz="0" w:space="0" w:color="auto"/>
        <w:right w:val="none" w:sz="0" w:space="0" w:color="auto"/>
      </w:divBdr>
      <w:divsChild>
        <w:div w:id="1830756190">
          <w:marLeft w:val="0"/>
          <w:marRight w:val="0"/>
          <w:marTop w:val="0"/>
          <w:marBottom w:val="0"/>
          <w:divBdr>
            <w:top w:val="none" w:sz="0" w:space="0" w:color="auto"/>
            <w:left w:val="none" w:sz="0" w:space="0" w:color="auto"/>
            <w:bottom w:val="none" w:sz="0" w:space="0" w:color="auto"/>
            <w:right w:val="none" w:sz="0" w:space="0" w:color="auto"/>
          </w:divBdr>
        </w:div>
        <w:div w:id="1749381072">
          <w:marLeft w:val="0"/>
          <w:marRight w:val="0"/>
          <w:marTop w:val="0"/>
          <w:marBottom w:val="0"/>
          <w:divBdr>
            <w:top w:val="none" w:sz="0" w:space="0" w:color="auto"/>
            <w:left w:val="none" w:sz="0" w:space="0" w:color="auto"/>
            <w:bottom w:val="none" w:sz="0" w:space="0" w:color="auto"/>
            <w:right w:val="none" w:sz="0" w:space="0" w:color="auto"/>
          </w:divBdr>
        </w:div>
      </w:divsChild>
    </w:div>
    <w:div w:id="949631688">
      <w:bodyDiv w:val="1"/>
      <w:marLeft w:val="0"/>
      <w:marRight w:val="0"/>
      <w:marTop w:val="0"/>
      <w:marBottom w:val="0"/>
      <w:divBdr>
        <w:top w:val="none" w:sz="0" w:space="0" w:color="auto"/>
        <w:left w:val="none" w:sz="0" w:space="0" w:color="auto"/>
        <w:bottom w:val="none" w:sz="0" w:space="0" w:color="auto"/>
        <w:right w:val="none" w:sz="0" w:space="0" w:color="auto"/>
      </w:divBdr>
      <w:divsChild>
        <w:div w:id="115948244">
          <w:marLeft w:val="0"/>
          <w:marRight w:val="0"/>
          <w:marTop w:val="0"/>
          <w:marBottom w:val="0"/>
          <w:divBdr>
            <w:top w:val="none" w:sz="0" w:space="0" w:color="auto"/>
            <w:left w:val="none" w:sz="0" w:space="0" w:color="auto"/>
            <w:bottom w:val="none" w:sz="0" w:space="0" w:color="auto"/>
            <w:right w:val="none" w:sz="0" w:space="0" w:color="auto"/>
          </w:divBdr>
        </w:div>
        <w:div w:id="192067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D1CC-9552-4DBE-8A0A-A862F5E2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hp</cp:lastModifiedBy>
  <cp:revision>3</cp:revision>
  <cp:lastPrinted>2018-05-14T10:56:00Z</cp:lastPrinted>
  <dcterms:created xsi:type="dcterms:W3CDTF">2023-12-30T22:25:00Z</dcterms:created>
  <dcterms:modified xsi:type="dcterms:W3CDTF">2023-12-30T22:27:00Z</dcterms:modified>
</cp:coreProperties>
</file>