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C" w:rsidRDefault="005A0F9C" w:rsidP="005A0F9C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A0F9C">
        <w:rPr>
          <w:rFonts w:ascii="Times New Roman" w:hAnsi="Times New Roman" w:cs="Times New Roman"/>
          <w:sz w:val="24"/>
          <w:szCs w:val="24"/>
        </w:rPr>
        <w:t xml:space="preserve">Most of powdery mildew pathogens (16 genera, about 900 species) are "surface parasites" which parasitize only on the surface of the plant and have such a form that the pathogen remains outside the plant cell and makes only the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haustorium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infiltrate into the plant cell to obtain nutrition.  Accordingly, even compounds having no translocation properties and penetration properties into the plant (for example, sulfur,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chlorothalonil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kresoxim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-methyl, etc.) and compounds having no sufficient translocation properties and penetration properties to show adequate fungicidal activity inside the plant cell (for example, potassium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iminoctadine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>, etc.) show curative effects against most of powdery mildew.  However, some of powdery mildew pathogens, for example, sweet pepper powdery mildew and pear powdery mildew, are "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endoparasites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" which parasitize inside the plant body, and against powdery mildew caused by such pathogens, only compounds having high translocation properties and penetration properties have sufficient curative effects, penetration effects, etc.  </w:t>
      </w:r>
    </w:p>
    <w:p w:rsidR="00710E91" w:rsidRPr="005A0F9C" w:rsidRDefault="005A0F9C" w:rsidP="005A0F9C">
      <w:pPr>
        <w:bidi w:val="0"/>
        <w:jc w:val="both"/>
        <w:rPr>
          <w:rFonts w:ascii="Times New Roman" w:hAnsi="Times New Roman" w:cs="Times New Roman"/>
          <w:rtl/>
        </w:rPr>
      </w:pPr>
      <w:r w:rsidRPr="005A0F9C">
        <w:rPr>
          <w:rFonts w:ascii="Times New Roman" w:hAnsi="Times New Roman" w:cs="Times New Roman"/>
          <w:sz w:val="24"/>
          <w:szCs w:val="24"/>
        </w:rPr>
        <w:t xml:space="preserve">Specific examples of the polyhydric alcohol surfactant include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polyoxyethylenehexitan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fatty acid ester (tradename: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Aproach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BI; manufactured by MARUWA BIOCHEMICAL Co., Ltd.),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polyoxyethylene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sorbitan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fatty acid ester (tradename: Tween20; manufactured by Wako Pure Chemical Industries, Ltd.),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sorbitan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fatty acid ester (tradename: Destiny, tradename: Destiny HC (a mixture with methylated soybean oil and high-fructose corn syrup, manufactured by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WinField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United, tradename: SQUASH (a mixture with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polyoxyethylene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resinate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); manufactured by Kao Corporation, tradename: SORGEN40; manufactured by DKS Co., Ltd., tradename: Bravo (a mixture with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polyoxyethylene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fatty acid ester and a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dialkyldimethylammonium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polynaphthylmethanesulfonate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) manufactured by AGRO-KANESHO CO., LTD.), a castor oil ethylene oxide adduct (tradename: D-230; manufactured by TAKEMOTO OIL &amp; FAT Co., Ltd.), a hydrogenated castor oil ethylene oxide adduct (tradename: D-230kz; manufactured by TAKEMOTO OIL &amp; FAT Co., Ltd.), polyethylene glycol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isotridecyl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ester (tradename: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Genapol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X-80; manufactured by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Clariant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), polyethylene glycol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monooleate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(tradename: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Nikkol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MYO-10V; manufactured by Nikko Chemicals, Co., Ltd.), polyethylene glycol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monostearate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(tradename: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Nikkol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MYS-55V; manufactured by Nikko Chemicals, Co., Ltd.), and a mixture of a polyhydric alcohol fatty acid ester and a polyhydric alcohol polyethylene oxide fatty acid ester (tradename: </w:t>
      </w:r>
      <w:proofErr w:type="spellStart"/>
      <w:r w:rsidRPr="005A0F9C">
        <w:rPr>
          <w:rFonts w:ascii="Times New Roman" w:hAnsi="Times New Roman" w:cs="Times New Roman"/>
          <w:sz w:val="24"/>
          <w:szCs w:val="24"/>
        </w:rPr>
        <w:t>Agridex</w:t>
      </w:r>
      <w:proofErr w:type="spellEnd"/>
      <w:r w:rsidRPr="005A0F9C">
        <w:rPr>
          <w:rFonts w:ascii="Times New Roman" w:hAnsi="Times New Roman" w:cs="Times New Roman"/>
          <w:sz w:val="24"/>
          <w:szCs w:val="24"/>
        </w:rPr>
        <w:t xml:space="preserve"> (a mixture with paraffin-based petroleum); manufactured by Bayer).  </w:t>
      </w:r>
    </w:p>
    <w:p w:rsidR="005A0F9C" w:rsidRDefault="005A0F9C">
      <w:pPr>
        <w:rPr>
          <w:rtl/>
        </w:rPr>
      </w:pPr>
    </w:p>
    <w:p w:rsidR="005A0F9C" w:rsidRPr="005A0F9C" w:rsidRDefault="005A0F9C" w:rsidP="005A0F9C">
      <w:pPr>
        <w:jc w:val="both"/>
        <w:rPr>
          <w:rFonts w:ascii="Times New Roman" w:hAnsi="Times New Roman" w:cs="B Nazanin"/>
          <w:b/>
          <w:bCs/>
          <w:sz w:val="24"/>
          <w:szCs w:val="28"/>
          <w:u w:val="single"/>
          <w:rtl/>
        </w:rPr>
      </w:pPr>
      <w:r w:rsidRPr="005A0F9C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ترجمه فارسی:</w:t>
      </w:r>
    </w:p>
    <w:p w:rsidR="005A0F9C" w:rsidRDefault="005A0F9C" w:rsidP="005A0F9C">
      <w:pPr>
        <w:jc w:val="both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سفیدک های سطحی</w:t>
      </w:r>
      <w:r>
        <w:rPr>
          <w:rStyle w:val="FootnoteReference"/>
          <w:rFonts w:ascii="Times New Roman" w:hAnsi="Times New Roman" w:cs="B Nazanin"/>
          <w:sz w:val="24"/>
          <w:szCs w:val="28"/>
          <w:rtl/>
        </w:rPr>
        <w:footnoteReference w:id="1"/>
      </w:r>
      <w:r>
        <w:rPr>
          <w:rFonts w:ascii="Times New Roman" w:hAnsi="Times New Roman" w:cs="B Nazanin" w:hint="cs"/>
          <w:sz w:val="24"/>
          <w:szCs w:val="28"/>
          <w:rtl/>
        </w:rPr>
        <w:t xml:space="preserve"> بیماری زا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(16 جنس،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و </w:t>
      </w:r>
      <w:r w:rsidRPr="00205FFD">
        <w:rPr>
          <w:rFonts w:ascii="Times New Roman" w:hAnsi="Times New Roman" w:cs="B Nazanin"/>
          <w:sz w:val="24"/>
          <w:szCs w:val="28"/>
          <w:rtl/>
        </w:rPr>
        <w:t>حدود 900 گونه)</w:t>
      </w:r>
      <w:r w:rsidRPr="007B0BA5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اغلب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"</w:t>
      </w:r>
      <w:r>
        <w:rPr>
          <w:rFonts w:ascii="Times New Roman" w:hAnsi="Times New Roman" w:cs="B Nazanin" w:hint="cs"/>
          <w:sz w:val="24"/>
          <w:szCs w:val="28"/>
          <w:rtl/>
        </w:rPr>
        <w:t>انگل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ها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سطح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>" هستند که فقط بر رو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سطح 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فعالیت می کنند؛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این پاتوژن ها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خارج از سلول 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قرار </w:t>
      </w:r>
      <w:r>
        <w:rPr>
          <w:rFonts w:ascii="Times New Roman" w:hAnsi="Times New Roman" w:cs="B Nazanin" w:hint="cs"/>
          <w:sz w:val="24"/>
          <w:szCs w:val="28"/>
          <w:rtl/>
        </w:rPr>
        <w:t>گرفته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و تنها </w:t>
      </w:r>
      <w:r w:rsidRPr="00611629">
        <w:rPr>
          <w:rFonts w:ascii="Times New Roman" w:hAnsi="Times New Roman" w:cs="B Nazanin"/>
          <w:sz w:val="24"/>
          <w:szCs w:val="28"/>
          <w:rtl/>
        </w:rPr>
        <w:t>هوستوريوم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آنها</w:t>
      </w:r>
      <w:r w:rsidRPr="00611629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به سلول </w:t>
      </w:r>
      <w:r w:rsidRPr="00205FFD">
        <w:rPr>
          <w:rFonts w:ascii="Times New Roman" w:hAnsi="Times New Roman" w:cs="B Nazanin"/>
          <w:sz w:val="24"/>
          <w:szCs w:val="28"/>
          <w:rtl/>
        </w:rPr>
        <w:t>نفوذ م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کند </w:t>
      </w:r>
      <w:r>
        <w:rPr>
          <w:rFonts w:ascii="Times New Roman" w:hAnsi="Times New Roman" w:cs="B Nazanin" w:hint="cs"/>
          <w:sz w:val="24"/>
          <w:szCs w:val="28"/>
          <w:rtl/>
        </w:rPr>
        <w:t>تا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مواد غذایی را بدست آورد.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بدین ترتیب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حت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اجزائی که ویژگی جابجایی و </w:t>
      </w:r>
      <w:r w:rsidRPr="00205FFD">
        <w:rPr>
          <w:rFonts w:ascii="Times New Roman" w:hAnsi="Times New Roman" w:cs="B Nazanin"/>
          <w:sz w:val="24"/>
          <w:szCs w:val="28"/>
          <w:rtl/>
        </w:rPr>
        <w:t>نفوذ در 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را ندارند </w:t>
      </w:r>
      <w:r w:rsidRPr="00205FFD">
        <w:rPr>
          <w:rFonts w:ascii="Times New Roman" w:hAnsi="Times New Roman" w:cs="B Nazanin"/>
          <w:sz w:val="24"/>
          <w:szCs w:val="28"/>
          <w:rtl/>
        </w:rPr>
        <w:t>(</w:t>
      </w:r>
      <w:r>
        <w:rPr>
          <w:rFonts w:ascii="Times New Roman" w:hAnsi="Times New Roman" w:cs="B Nazanin" w:hint="cs"/>
          <w:sz w:val="24"/>
          <w:szCs w:val="28"/>
          <w:rtl/>
        </w:rPr>
        <w:t>مانند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گوگرد، </w:t>
      </w:r>
      <w:r w:rsidRPr="00171819">
        <w:rPr>
          <w:rFonts w:ascii="Times New Roman" w:hAnsi="Times New Roman" w:cs="B Nazanin"/>
          <w:sz w:val="24"/>
          <w:szCs w:val="28"/>
          <w:rtl/>
        </w:rPr>
        <w:t>کلروتالون</w:t>
      </w:r>
      <w:r w:rsidRPr="00171819">
        <w:rPr>
          <w:rFonts w:ascii="Times New Roman" w:hAnsi="Times New Roman" w:cs="B Nazanin" w:hint="cs"/>
          <w:sz w:val="24"/>
          <w:szCs w:val="28"/>
          <w:rtl/>
        </w:rPr>
        <w:t>ی</w:t>
      </w:r>
      <w:r w:rsidRPr="00171819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171819">
        <w:rPr>
          <w:rFonts w:ascii="Times New Roman" w:hAnsi="Times New Roman" w:cs="B Nazanin"/>
          <w:sz w:val="24"/>
          <w:szCs w:val="28"/>
          <w:rtl/>
        </w:rPr>
        <w:t>کرزوکس</w:t>
      </w:r>
      <w:r w:rsidRPr="00171819">
        <w:rPr>
          <w:rFonts w:ascii="Times New Roman" w:hAnsi="Times New Roman" w:cs="B Nazanin" w:hint="cs"/>
          <w:sz w:val="24"/>
          <w:szCs w:val="28"/>
          <w:rtl/>
        </w:rPr>
        <w:t>ی</w:t>
      </w:r>
      <w:r w:rsidRPr="00171819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171819">
        <w:rPr>
          <w:rFonts w:ascii="Times New Roman" w:hAnsi="Times New Roman" w:cs="B Nazanin"/>
          <w:sz w:val="24"/>
          <w:szCs w:val="28"/>
          <w:rtl/>
        </w:rPr>
        <w:t xml:space="preserve"> مت</w:t>
      </w:r>
      <w:r w:rsidRPr="00171819">
        <w:rPr>
          <w:rFonts w:ascii="Times New Roman" w:hAnsi="Times New Roman" w:cs="B Nazanin" w:hint="cs"/>
          <w:sz w:val="24"/>
          <w:szCs w:val="28"/>
          <w:rtl/>
        </w:rPr>
        <w:t>ی</w:t>
      </w:r>
      <w:r w:rsidRPr="00171819">
        <w:rPr>
          <w:rFonts w:ascii="Times New Roman" w:hAnsi="Times New Roman" w:cs="B Nazanin" w:hint="eastAsia"/>
          <w:sz w:val="24"/>
          <w:szCs w:val="28"/>
          <w:rtl/>
        </w:rPr>
        <w:t>ل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و </w:t>
      </w:r>
      <w:r>
        <w:rPr>
          <w:rFonts w:ascii="Times New Roman" w:hAnsi="Times New Roman" w:cs="B Nazanin" w:hint="cs"/>
          <w:sz w:val="24"/>
          <w:szCs w:val="28"/>
          <w:rtl/>
        </w:rPr>
        <w:t>...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) و </w:t>
      </w:r>
      <w:r>
        <w:rPr>
          <w:rFonts w:ascii="Times New Roman" w:hAnsi="Times New Roman" w:cs="B Nazanin" w:hint="cs"/>
          <w:sz w:val="24"/>
          <w:szCs w:val="28"/>
          <w:rtl/>
        </w:rPr>
        <w:t>نیز اجزائی که ویژگی های جابجایی و نفوذ آنها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بروز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دادن فعال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قارچ کش</w:t>
      </w:r>
      <w:r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مناسب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در داخل سلول 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کافی نمی باشند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(</w:t>
      </w:r>
      <w:r>
        <w:rPr>
          <w:rFonts w:ascii="Times New Roman" w:hAnsi="Times New Roman" w:cs="B Nazanin" w:hint="cs"/>
          <w:sz w:val="24"/>
          <w:szCs w:val="28"/>
          <w:rtl/>
        </w:rPr>
        <w:t>مثل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ه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دروکربنات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پتاس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م،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ا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eastAsia"/>
          <w:sz w:val="24"/>
          <w:szCs w:val="28"/>
          <w:rtl/>
        </w:rPr>
        <w:t>نوک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تاد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205FFD">
        <w:rPr>
          <w:rFonts w:ascii="Times New Roman" w:hAnsi="Times New Roman" w:cs="B Nazanin"/>
          <w:sz w:val="24"/>
          <w:szCs w:val="28"/>
          <w:rtl/>
        </w:rPr>
        <w:lastRenderedPageBreak/>
        <w:t xml:space="preserve">و </w:t>
      </w:r>
      <w:r>
        <w:rPr>
          <w:rFonts w:ascii="Times New Roman" w:hAnsi="Times New Roman" w:cs="B Nazanin" w:hint="cs"/>
          <w:sz w:val="24"/>
          <w:szCs w:val="28"/>
          <w:rtl/>
        </w:rPr>
        <w:t>...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) در برابر </w:t>
      </w:r>
      <w:r>
        <w:rPr>
          <w:rFonts w:ascii="Times New Roman" w:hAnsi="Times New Roman" w:cs="B Nazanin" w:hint="cs"/>
          <w:sz w:val="24"/>
          <w:szCs w:val="28"/>
          <w:rtl/>
        </w:rPr>
        <w:t>اغلب سفیدک های سطحی، اثرات درمانی را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نشان م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ده</w:t>
      </w:r>
      <w:r>
        <w:rPr>
          <w:rFonts w:ascii="Times New Roman" w:hAnsi="Times New Roman" w:cs="B Nazanin" w:hint="cs"/>
          <w:sz w:val="24"/>
          <w:szCs w:val="28"/>
          <w:rtl/>
        </w:rPr>
        <w:t>ن</w:t>
      </w:r>
      <w:r w:rsidRPr="00205FFD">
        <w:rPr>
          <w:rFonts w:ascii="Times New Roman" w:hAnsi="Times New Roman" w:cs="B Nazanin"/>
          <w:sz w:val="24"/>
          <w:szCs w:val="28"/>
          <w:rtl/>
        </w:rPr>
        <w:t>د. با ا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ن</w:t>
      </w:r>
      <w:r>
        <w:rPr>
          <w:rFonts w:ascii="Times New Roman" w:hAnsi="Times New Roman" w:cs="B Nazanin"/>
          <w:sz w:val="24"/>
          <w:szCs w:val="28"/>
          <w:rtl/>
        </w:rPr>
        <w:t xml:space="preserve"> حال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برخ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سفیدک های سطحی </w:t>
      </w:r>
      <w:r>
        <w:rPr>
          <w:rFonts w:ascii="Times New Roman" w:hAnsi="Times New Roman" w:cs="B Nazanin"/>
          <w:sz w:val="24"/>
          <w:szCs w:val="28"/>
          <w:rtl/>
        </w:rPr>
        <w:t>پاتوژن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، </w:t>
      </w:r>
      <w:r>
        <w:rPr>
          <w:rFonts w:ascii="Times New Roman" w:hAnsi="Times New Roman" w:cs="B Nazanin" w:hint="cs"/>
          <w:sz w:val="24"/>
          <w:szCs w:val="28"/>
          <w:rtl/>
        </w:rPr>
        <w:t>مانند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سفیدک سطحی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فلفل ش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 w:hint="cs"/>
          <w:sz w:val="24"/>
          <w:szCs w:val="28"/>
          <w:rtl/>
        </w:rPr>
        <w:t>سفیدک سطحی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گلاب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"</w:t>
      </w:r>
      <w:r>
        <w:rPr>
          <w:rFonts w:ascii="Times New Roman" w:hAnsi="Times New Roman" w:cs="B Nazanin" w:hint="cs"/>
          <w:sz w:val="24"/>
          <w:szCs w:val="28"/>
          <w:rtl/>
        </w:rPr>
        <w:t>انگل داخلی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" </w:t>
      </w:r>
      <w:r>
        <w:rPr>
          <w:rFonts w:ascii="Times New Roman" w:hAnsi="Times New Roman" w:cs="B Nazanin" w:hint="cs"/>
          <w:sz w:val="24"/>
          <w:szCs w:val="28"/>
          <w:rtl/>
        </w:rPr>
        <w:t>بوده و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به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پیکر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گ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وارد </w:t>
      </w:r>
      <w:r w:rsidRPr="00205FFD">
        <w:rPr>
          <w:rFonts w:ascii="Times New Roman" w:hAnsi="Times New Roman" w:cs="B Nazanin"/>
          <w:sz w:val="24"/>
          <w:szCs w:val="28"/>
          <w:rtl/>
        </w:rPr>
        <w:t>م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شوند و در </w:t>
      </w:r>
      <w:r>
        <w:rPr>
          <w:rFonts w:ascii="Times New Roman" w:hAnsi="Times New Roman" w:cs="B Nazanin" w:hint="cs"/>
          <w:sz w:val="24"/>
          <w:szCs w:val="28"/>
          <w:rtl/>
        </w:rPr>
        <w:t>مقابلِ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سفیدک سطحی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ایجاد شده </w:t>
      </w:r>
      <w:r w:rsidRPr="00205FFD">
        <w:rPr>
          <w:rFonts w:ascii="Times New Roman" w:hAnsi="Times New Roman" w:cs="B Nazanin"/>
          <w:sz w:val="24"/>
          <w:szCs w:val="28"/>
          <w:rtl/>
        </w:rPr>
        <w:t>از چن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پاتو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ژن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ها</w:t>
      </w:r>
      <w:r>
        <w:rPr>
          <w:rFonts w:ascii="Times New Roman" w:hAnsi="Times New Roman" w:cs="B Nazanin" w:hint="cs"/>
          <w:sz w:val="24"/>
          <w:szCs w:val="28"/>
          <w:rtl/>
        </w:rPr>
        <w:t>یی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، تنها </w:t>
      </w:r>
      <w:r>
        <w:rPr>
          <w:rFonts w:ascii="Times New Roman" w:hAnsi="Times New Roman" w:cs="B Nazanin" w:hint="cs"/>
          <w:sz w:val="24"/>
          <w:szCs w:val="28"/>
          <w:rtl/>
        </w:rPr>
        <w:t>اجزائی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که ویژگی های جابجایی و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نفوذ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بالایی دارند، </w:t>
      </w:r>
      <w:r w:rsidRPr="00205FFD">
        <w:rPr>
          <w:rFonts w:ascii="Times New Roman" w:hAnsi="Times New Roman" w:cs="B Nazanin"/>
          <w:sz w:val="24"/>
          <w:szCs w:val="28"/>
          <w:rtl/>
        </w:rPr>
        <w:t>اثرات درمان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05FFD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205FFD">
        <w:rPr>
          <w:rFonts w:ascii="Times New Roman" w:hAnsi="Times New Roman" w:cs="B Nazanin"/>
          <w:sz w:val="24"/>
          <w:szCs w:val="28"/>
          <w:rtl/>
        </w:rPr>
        <w:t xml:space="preserve"> اثرات نفوذ و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... </w:t>
      </w:r>
      <w:r w:rsidRPr="00205FFD">
        <w:rPr>
          <w:rFonts w:ascii="Times New Roman" w:hAnsi="Times New Roman" w:cs="B Nazanin"/>
          <w:sz w:val="24"/>
          <w:szCs w:val="28"/>
          <w:rtl/>
        </w:rPr>
        <w:t>کاف</w:t>
      </w:r>
      <w:r w:rsidRPr="00205FFD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را نشان می دهند. </w:t>
      </w:r>
      <w:bookmarkStart w:id="0" w:name="_GoBack"/>
      <w:bookmarkEnd w:id="0"/>
    </w:p>
    <w:p w:rsidR="005A0F9C" w:rsidRDefault="005A0F9C" w:rsidP="005A0F9C">
      <w:pPr>
        <w:jc w:val="both"/>
      </w:pPr>
      <w:r>
        <w:rPr>
          <w:rFonts w:ascii="Times New Roman" w:hAnsi="Times New Roman" w:cs="B Nazanin" w:hint="cs"/>
          <w:sz w:val="24"/>
          <w:szCs w:val="28"/>
          <w:rtl/>
        </w:rPr>
        <w:t xml:space="preserve">مثال های خاص سورفاکتانت الکل پلی هیدریک به شرح زیر می باشند: استر اسید چرب پلی اکسی اتیلن هگزیتان (نام تجاری: </w:t>
      </w:r>
      <w:proofErr w:type="spellStart"/>
      <w:r w:rsidRPr="001E03B2">
        <w:rPr>
          <w:rFonts w:ascii="Times New Roman" w:hAnsi="Times New Roman" w:cs="B Nazanin"/>
          <w:sz w:val="24"/>
          <w:szCs w:val="28"/>
        </w:rPr>
        <w:t>Aproach</w:t>
      </w:r>
      <w:proofErr w:type="spellEnd"/>
      <w:r w:rsidRPr="001E03B2">
        <w:rPr>
          <w:rFonts w:ascii="Times New Roman" w:hAnsi="Times New Roman" w:cs="B Nazanin"/>
          <w:sz w:val="24"/>
          <w:szCs w:val="28"/>
        </w:rPr>
        <w:t xml:space="preserve"> BI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1E03B2">
        <w:rPr>
          <w:rFonts w:ascii="Times New Roman" w:hAnsi="Times New Roman" w:cs="B Nazanin"/>
          <w:sz w:val="24"/>
          <w:szCs w:val="28"/>
        </w:rPr>
        <w:t>MARUWA BIOCHEMICAL Co., Ltd.</w:t>
      </w:r>
      <w:r>
        <w:rPr>
          <w:rFonts w:ascii="Times New Roman" w:hAnsi="Times New Roman" w:cs="B Nazanin" w:hint="cs"/>
          <w:sz w:val="24"/>
          <w:szCs w:val="28"/>
          <w:rtl/>
        </w:rPr>
        <w:t>)؛ استر</w:t>
      </w:r>
      <w:r w:rsidRPr="00B602E9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اسید چرب پلی اکسی اتیلن سوربیتان (نام تجاری: </w:t>
      </w:r>
      <w:r w:rsidRPr="001E03B2">
        <w:rPr>
          <w:rFonts w:ascii="Times New Roman" w:hAnsi="Times New Roman" w:cs="B Nazanin"/>
          <w:sz w:val="24"/>
          <w:szCs w:val="28"/>
        </w:rPr>
        <w:t>Tween20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1E03B2">
        <w:rPr>
          <w:rFonts w:ascii="Times New Roman" w:hAnsi="Times New Roman" w:cs="B Nazanin"/>
          <w:sz w:val="24"/>
          <w:szCs w:val="28"/>
        </w:rPr>
        <w:t>Wako Pure Chemical Industries, Ltd.</w:t>
      </w:r>
      <w:r>
        <w:rPr>
          <w:rFonts w:ascii="Times New Roman" w:hAnsi="Times New Roman" w:cs="B Nazanin" w:hint="cs"/>
          <w:sz w:val="24"/>
          <w:szCs w:val="28"/>
          <w:rtl/>
        </w:rPr>
        <w:t>)؛ استر اسید چرب</w:t>
      </w:r>
      <w:r w:rsidRPr="00B602E9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سوربیتان (نام تجاری: </w:t>
      </w:r>
      <w:r w:rsidRPr="003042EC">
        <w:rPr>
          <w:rFonts w:ascii="Times New Roman" w:hAnsi="Times New Roman" w:cs="B Nazanin"/>
          <w:sz w:val="24"/>
          <w:szCs w:val="28"/>
        </w:rPr>
        <w:t>Destiny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نام تجاری: </w:t>
      </w:r>
      <w:r w:rsidRPr="003042EC">
        <w:rPr>
          <w:rFonts w:ascii="Times New Roman" w:hAnsi="Times New Roman" w:cs="B Nazanin"/>
          <w:sz w:val="24"/>
          <w:szCs w:val="28"/>
        </w:rPr>
        <w:t>Destiny HC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(مخلوطی همراه با روغن سویای متیله شده و </w:t>
      </w:r>
      <w:r w:rsidRPr="003042EC">
        <w:rPr>
          <w:rFonts w:ascii="Times New Roman" w:hAnsi="Times New Roman" w:cs="B Nazanin"/>
          <w:sz w:val="24"/>
          <w:szCs w:val="28"/>
          <w:rtl/>
        </w:rPr>
        <w:t>شربت ذرت با فروکتوز بالا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)، ساخته شده توسط </w:t>
      </w:r>
      <w:proofErr w:type="spellStart"/>
      <w:r w:rsidRPr="003042EC">
        <w:rPr>
          <w:rFonts w:ascii="Times New Roman" w:hAnsi="Times New Roman" w:cs="B Nazanin"/>
          <w:sz w:val="24"/>
          <w:szCs w:val="28"/>
        </w:rPr>
        <w:t>WinField</w:t>
      </w:r>
      <w:proofErr w:type="spellEnd"/>
      <w:r w:rsidRPr="003042EC">
        <w:rPr>
          <w:rFonts w:ascii="Times New Roman" w:hAnsi="Times New Roman" w:cs="B Nazanin"/>
          <w:sz w:val="24"/>
          <w:szCs w:val="28"/>
        </w:rPr>
        <w:t xml:space="preserve"> United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؛ نام تجاری: </w:t>
      </w:r>
      <w:r w:rsidRPr="00DD748F">
        <w:rPr>
          <w:rFonts w:ascii="Times New Roman" w:hAnsi="Times New Roman" w:cs="B Nazanin"/>
          <w:sz w:val="24"/>
          <w:szCs w:val="28"/>
        </w:rPr>
        <w:t>SQUASH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(مخلوطی همراه با پلی اکسی اتیلن رزینات)، ساخته شده توسط </w:t>
      </w:r>
      <w:r w:rsidRPr="00DD748F">
        <w:rPr>
          <w:rFonts w:ascii="Times New Roman" w:hAnsi="Times New Roman" w:cs="B Nazanin"/>
          <w:sz w:val="24"/>
          <w:szCs w:val="28"/>
        </w:rPr>
        <w:t>Kao Corporation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؛ نام تجاری: </w:t>
      </w:r>
      <w:r w:rsidRPr="00DD748F">
        <w:rPr>
          <w:rFonts w:ascii="Times New Roman" w:hAnsi="Times New Roman" w:cs="B Nazanin"/>
          <w:sz w:val="24"/>
          <w:szCs w:val="28"/>
        </w:rPr>
        <w:t>SORGEN40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DD748F">
        <w:rPr>
          <w:rFonts w:ascii="Times New Roman" w:hAnsi="Times New Roman" w:cs="B Nazanin"/>
          <w:sz w:val="24"/>
          <w:szCs w:val="28"/>
        </w:rPr>
        <w:t>DKS Co., Ltd.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؛ نام تجاری: </w:t>
      </w:r>
      <w:r w:rsidRPr="00DD748F">
        <w:rPr>
          <w:rFonts w:ascii="Times New Roman" w:hAnsi="Times New Roman" w:cs="B Nazanin"/>
          <w:sz w:val="24"/>
          <w:szCs w:val="28"/>
        </w:rPr>
        <w:t>Bravo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(مخلوطی همراه با استر اسید چرب پلی اکسی اتیلن و دی آلکیل دی متیل آمونیوم پلی نفتیل متان سولفونات)، ساخته شده توسط </w:t>
      </w:r>
      <w:r w:rsidRPr="00505D73">
        <w:rPr>
          <w:rFonts w:ascii="Times New Roman" w:hAnsi="Times New Roman" w:cs="B Nazanin"/>
          <w:sz w:val="24"/>
          <w:szCs w:val="28"/>
        </w:rPr>
        <w:t>AGRO-KANESHO CO., LTD.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)؛ ترکیب اضافی روغن کرچک اتیلن اکسید (نام تجاری: </w:t>
      </w:r>
      <w:r w:rsidRPr="00505D73">
        <w:rPr>
          <w:rFonts w:ascii="Times New Roman" w:hAnsi="Times New Roman" w:cs="B Nazanin"/>
          <w:sz w:val="24"/>
          <w:szCs w:val="28"/>
          <w:rtl/>
        </w:rPr>
        <w:t xml:space="preserve">: </w:t>
      </w:r>
      <w:r w:rsidRPr="00505D73">
        <w:rPr>
          <w:rFonts w:ascii="Times New Roman" w:hAnsi="Times New Roman" w:cs="B Nazanin"/>
          <w:sz w:val="24"/>
          <w:szCs w:val="28"/>
        </w:rPr>
        <w:t>D-230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505D73">
        <w:rPr>
          <w:rFonts w:ascii="Times New Roman" w:hAnsi="Times New Roman" w:cs="B Nazanin"/>
          <w:sz w:val="24"/>
          <w:szCs w:val="28"/>
        </w:rPr>
        <w:t>TAKEMOTO OIL &amp; FAT Co., Ltd.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)؛ ترکیب اضافی روغن کرچک هیدروژنه شده اتیلن اکسید (نام تجاری: </w:t>
      </w:r>
      <w:r w:rsidRPr="00505D73">
        <w:rPr>
          <w:rFonts w:ascii="Times New Roman" w:hAnsi="Times New Roman" w:cs="B Nazanin"/>
          <w:sz w:val="24"/>
          <w:szCs w:val="28"/>
        </w:rPr>
        <w:t>D-230kz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505D73">
        <w:rPr>
          <w:rFonts w:ascii="Times New Roman" w:hAnsi="Times New Roman" w:cs="B Nazanin"/>
          <w:sz w:val="24"/>
          <w:szCs w:val="28"/>
        </w:rPr>
        <w:t>TAKEMOTO OIL &amp; FAT Co., Ltd.</w:t>
      </w:r>
      <w:r>
        <w:rPr>
          <w:rFonts w:ascii="Times New Roman" w:hAnsi="Times New Roman" w:cs="B Nazanin" w:hint="cs"/>
          <w:sz w:val="24"/>
          <w:szCs w:val="28"/>
          <w:rtl/>
        </w:rPr>
        <w:t>)؛ استر</w:t>
      </w:r>
      <w:r w:rsidRPr="000F12C4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ایزوتری دسیل پلی اتیلن گلایکول (نام تجاری: </w:t>
      </w:r>
      <w:proofErr w:type="spellStart"/>
      <w:r w:rsidRPr="009B55BC">
        <w:rPr>
          <w:rFonts w:ascii="Times New Roman" w:hAnsi="Times New Roman" w:cs="B Nazanin"/>
          <w:sz w:val="24"/>
          <w:szCs w:val="28"/>
        </w:rPr>
        <w:t>Genapol</w:t>
      </w:r>
      <w:proofErr w:type="spellEnd"/>
      <w:r w:rsidRPr="009B55BC">
        <w:rPr>
          <w:rFonts w:ascii="Times New Roman" w:hAnsi="Times New Roman" w:cs="B Nazanin"/>
          <w:sz w:val="24"/>
          <w:szCs w:val="28"/>
        </w:rPr>
        <w:t xml:space="preserve"> X-80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proofErr w:type="spellStart"/>
      <w:r w:rsidRPr="009B55BC">
        <w:rPr>
          <w:rFonts w:ascii="Times New Roman" w:hAnsi="Times New Roman" w:cs="B Nazanin"/>
          <w:sz w:val="24"/>
          <w:szCs w:val="28"/>
        </w:rPr>
        <w:t>Clariant</w:t>
      </w:r>
      <w:proofErr w:type="spellEnd"/>
      <w:r>
        <w:rPr>
          <w:rFonts w:ascii="Times New Roman" w:hAnsi="Times New Roman" w:cs="B Nazanin" w:hint="cs"/>
          <w:sz w:val="24"/>
          <w:szCs w:val="28"/>
          <w:rtl/>
        </w:rPr>
        <w:t xml:space="preserve">)؛ پلی اتیلن گلایکول مونواولئات (نام تجاری: </w:t>
      </w:r>
      <w:proofErr w:type="spellStart"/>
      <w:r w:rsidRPr="00B602E9">
        <w:rPr>
          <w:rFonts w:ascii="Times New Roman" w:hAnsi="Times New Roman" w:cs="B Nazanin"/>
          <w:sz w:val="24"/>
          <w:szCs w:val="28"/>
        </w:rPr>
        <w:t>Nikkol</w:t>
      </w:r>
      <w:proofErr w:type="spellEnd"/>
      <w:r w:rsidRPr="00B602E9">
        <w:rPr>
          <w:rFonts w:ascii="Times New Roman" w:hAnsi="Times New Roman" w:cs="B Nazanin"/>
          <w:sz w:val="24"/>
          <w:szCs w:val="28"/>
        </w:rPr>
        <w:t xml:space="preserve"> MYO-10V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B602E9">
        <w:rPr>
          <w:rFonts w:ascii="Times New Roman" w:hAnsi="Times New Roman" w:cs="B Nazanin"/>
          <w:sz w:val="24"/>
          <w:szCs w:val="28"/>
        </w:rPr>
        <w:t>Nikko Chemicals, Co., Ltd.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)؛ پلی اتیلن گلایکول مونواستئارات (نام تجاری: </w:t>
      </w:r>
      <w:proofErr w:type="spellStart"/>
      <w:r w:rsidRPr="00333550">
        <w:rPr>
          <w:rFonts w:ascii="Times New Roman" w:hAnsi="Times New Roman" w:cs="B Nazanin"/>
          <w:sz w:val="24"/>
          <w:szCs w:val="28"/>
        </w:rPr>
        <w:t>Nikkol</w:t>
      </w:r>
      <w:proofErr w:type="spellEnd"/>
      <w:r w:rsidRPr="00333550">
        <w:rPr>
          <w:rFonts w:ascii="Times New Roman" w:hAnsi="Times New Roman" w:cs="B Nazanin"/>
          <w:sz w:val="24"/>
          <w:szCs w:val="28"/>
        </w:rPr>
        <w:t xml:space="preserve"> MYS-55V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، ساخته شده توسط </w:t>
      </w:r>
      <w:r w:rsidRPr="00333550">
        <w:rPr>
          <w:rFonts w:ascii="Times New Roman" w:hAnsi="Times New Roman" w:cs="B Nazanin"/>
          <w:sz w:val="24"/>
          <w:szCs w:val="28"/>
        </w:rPr>
        <w:t>Nikko Chemicals, Co., Ltd.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؛ و مخلوطی از استر اسید چرب الکل پلی هیدریک و استر اسید چرب الکل پلی هیدریک پلی اتیلن اکسید (نام تجاری: </w:t>
      </w:r>
      <w:proofErr w:type="spellStart"/>
      <w:r w:rsidRPr="00333550">
        <w:rPr>
          <w:rFonts w:ascii="Times New Roman" w:hAnsi="Times New Roman" w:cs="B Nazanin"/>
          <w:sz w:val="24"/>
          <w:szCs w:val="28"/>
        </w:rPr>
        <w:t>Agridex</w:t>
      </w:r>
      <w:proofErr w:type="spellEnd"/>
      <w:r>
        <w:rPr>
          <w:rFonts w:ascii="Times New Roman" w:hAnsi="Times New Roman" w:cs="B Nazanin" w:hint="cs"/>
          <w:sz w:val="24"/>
          <w:szCs w:val="28"/>
          <w:rtl/>
        </w:rPr>
        <w:t xml:space="preserve"> (مخلوطی همراه با نفت خام حاوی پارافین) ساخته شده توسط </w:t>
      </w:r>
      <w:r w:rsidRPr="00333550">
        <w:rPr>
          <w:rFonts w:ascii="Times New Roman" w:hAnsi="Times New Roman" w:cs="B Nazanin"/>
          <w:sz w:val="24"/>
          <w:szCs w:val="28"/>
        </w:rPr>
        <w:t>Bayer</w:t>
      </w:r>
      <w:r>
        <w:rPr>
          <w:rFonts w:ascii="Times New Roman" w:hAnsi="Times New Roman" w:cs="B Nazanin" w:hint="cs"/>
          <w:sz w:val="24"/>
          <w:szCs w:val="28"/>
          <w:rtl/>
        </w:rPr>
        <w:t>).</w:t>
      </w:r>
    </w:p>
    <w:sectPr w:rsidR="005A0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EE" w:rsidRDefault="009F0DEE" w:rsidP="005A0F9C">
      <w:pPr>
        <w:spacing w:after="0" w:line="240" w:lineRule="auto"/>
      </w:pPr>
      <w:r>
        <w:separator/>
      </w:r>
    </w:p>
  </w:endnote>
  <w:endnote w:type="continuationSeparator" w:id="0">
    <w:p w:rsidR="009F0DEE" w:rsidRDefault="009F0DEE" w:rsidP="005A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EE" w:rsidRDefault="009F0DEE" w:rsidP="005A0F9C">
      <w:pPr>
        <w:spacing w:after="0" w:line="240" w:lineRule="auto"/>
      </w:pPr>
      <w:r>
        <w:separator/>
      </w:r>
    </w:p>
  </w:footnote>
  <w:footnote w:type="continuationSeparator" w:id="0">
    <w:p w:rsidR="009F0DEE" w:rsidRDefault="009F0DEE" w:rsidP="005A0F9C">
      <w:pPr>
        <w:spacing w:after="0" w:line="240" w:lineRule="auto"/>
      </w:pPr>
      <w:r>
        <w:continuationSeparator/>
      </w:r>
    </w:p>
  </w:footnote>
  <w:footnote w:id="1">
    <w:p w:rsidR="005A0F9C" w:rsidRPr="00205FFD" w:rsidRDefault="005A0F9C" w:rsidP="005A0F9C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05FFD">
        <w:t>powdery mildew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C"/>
    <w:rsid w:val="005A0F9C"/>
    <w:rsid w:val="00710E91"/>
    <w:rsid w:val="009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E8E0"/>
  <w15:chartTrackingRefBased/>
  <w15:docId w15:val="{FC04B67C-ED82-4345-BA5D-219C9BC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9C"/>
    <w:pPr>
      <w:bidi/>
    </w:pPr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0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F9C"/>
    <w:rPr>
      <w:rFonts w:asciiTheme="minorHAnsi" w:hAnsiTheme="minorHAnsi" w:cstheme="minorBidi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A0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2022-09-04T10:51:00Z</dcterms:created>
  <dcterms:modified xsi:type="dcterms:W3CDTF">2022-09-04T10:59:00Z</dcterms:modified>
</cp:coreProperties>
</file>