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5339" w14:textId="566D5DBB" w:rsidR="00893B3E" w:rsidRDefault="0027595B">
      <w:pPr>
        <w:rPr>
          <w:b/>
          <w:bCs/>
          <w:rtl/>
          <w:lang w:bidi="fa-IR"/>
        </w:rPr>
      </w:pPr>
      <w:r>
        <w:rPr>
          <w:rFonts w:hint="cs"/>
          <w:b/>
          <w:bCs/>
          <w:rtl/>
          <w:lang w:bidi="fa-IR"/>
        </w:rPr>
        <w:t>مرور ادبیات</w:t>
      </w:r>
    </w:p>
    <w:p w14:paraId="3CB1ACD2" w14:textId="5A6F10AD" w:rsidR="0027595B" w:rsidRDefault="0027595B">
      <w:pPr>
        <w:rPr>
          <w:b/>
          <w:bCs/>
          <w:rtl/>
          <w:lang w:bidi="fa-IR"/>
        </w:rPr>
      </w:pPr>
      <w:r>
        <w:rPr>
          <w:rFonts w:hint="cs"/>
          <w:b/>
          <w:bCs/>
          <w:rtl/>
          <w:lang w:bidi="fa-IR"/>
        </w:rPr>
        <w:t xml:space="preserve">2.1 </w:t>
      </w:r>
      <w:r>
        <w:rPr>
          <w:b/>
          <w:bCs/>
          <w:lang w:bidi="fa-IR"/>
        </w:rPr>
        <w:t>CVD</w:t>
      </w:r>
      <w:r>
        <w:rPr>
          <w:rFonts w:hint="cs"/>
          <w:b/>
          <w:bCs/>
          <w:rtl/>
          <w:lang w:bidi="fa-IR"/>
        </w:rPr>
        <w:t xml:space="preserve"> و برآورد ریسک</w:t>
      </w:r>
    </w:p>
    <w:p w14:paraId="71DFAEA9" w14:textId="069DBB5B" w:rsidR="0027595B" w:rsidRDefault="00BE6118">
      <w:pPr>
        <w:rPr>
          <w:rtl/>
          <w:lang w:bidi="fa-IR"/>
        </w:rPr>
      </w:pPr>
      <w:r>
        <w:rPr>
          <w:rFonts w:hint="cs"/>
          <w:rtl/>
          <w:lang w:bidi="fa-IR"/>
        </w:rPr>
        <w:t xml:space="preserve">مفهوم مدیریت راهنما محور </w:t>
      </w:r>
      <w:r w:rsidR="008A2BE4">
        <w:rPr>
          <w:lang w:bidi="fa-IR"/>
        </w:rPr>
        <w:t>CVD</w:t>
      </w:r>
      <w:r w:rsidR="008A2BE4">
        <w:rPr>
          <w:rFonts w:hint="cs"/>
          <w:rtl/>
          <w:lang w:bidi="fa-IR"/>
        </w:rPr>
        <w:t xml:space="preserve"> با درک ریسک فاکتورها </w:t>
      </w:r>
      <w:r w:rsidR="00D23D7B">
        <w:rPr>
          <w:rFonts w:hint="cs"/>
          <w:rtl/>
          <w:lang w:bidi="fa-IR"/>
        </w:rPr>
        <w:t xml:space="preserve">از مطالعة قلب </w:t>
      </w:r>
      <w:r w:rsidR="00EC4B1C">
        <w:rPr>
          <w:rFonts w:hint="cs"/>
          <w:rtl/>
          <w:lang w:bidi="fa-IR"/>
        </w:rPr>
        <w:t>فرامینگهام</w:t>
      </w:r>
      <w:r w:rsidR="00D23D7B">
        <w:rPr>
          <w:rFonts w:hint="cs"/>
          <w:rtl/>
          <w:lang w:bidi="fa-IR"/>
        </w:rPr>
        <w:t xml:space="preserve"> </w:t>
      </w:r>
      <w:r w:rsidR="00D23D7B">
        <w:rPr>
          <w:lang w:bidi="fa-IR"/>
        </w:rPr>
        <w:t>(FHS)</w:t>
      </w:r>
      <w:r w:rsidR="00D23D7B">
        <w:rPr>
          <w:rFonts w:hint="cs"/>
          <w:rtl/>
          <w:lang w:bidi="fa-IR"/>
        </w:rPr>
        <w:t xml:space="preserve"> و مطالعة </w:t>
      </w:r>
      <w:r w:rsidR="00F3119E">
        <w:rPr>
          <w:rFonts w:hint="cs"/>
          <w:rtl/>
          <w:lang w:bidi="fa-IR"/>
        </w:rPr>
        <w:t xml:space="preserve">فرزندان </w:t>
      </w:r>
      <w:r w:rsidR="00EC4B1C">
        <w:rPr>
          <w:rFonts w:hint="cs"/>
          <w:rtl/>
          <w:lang w:bidi="fa-IR"/>
        </w:rPr>
        <w:t>فرامینگهام</w:t>
      </w:r>
      <w:r w:rsidR="00F3119E">
        <w:rPr>
          <w:rFonts w:hint="cs"/>
          <w:rtl/>
          <w:lang w:bidi="fa-IR"/>
        </w:rPr>
        <w:t xml:space="preserve"> </w:t>
      </w:r>
      <w:r w:rsidR="00F3119E">
        <w:rPr>
          <w:lang w:bidi="fa-IR"/>
        </w:rPr>
        <w:t>(FOS)</w:t>
      </w:r>
      <w:r w:rsidR="00F3119E">
        <w:rPr>
          <w:rFonts w:hint="cs"/>
          <w:rtl/>
          <w:lang w:bidi="fa-IR"/>
        </w:rPr>
        <w:t xml:space="preserve"> </w:t>
      </w:r>
      <w:r w:rsidR="00AD08FC">
        <w:rPr>
          <w:rFonts w:hint="cs"/>
          <w:rtl/>
          <w:lang w:bidi="fa-IR"/>
        </w:rPr>
        <w:t xml:space="preserve">مطرح شد (232، 211). اصطلاحات، فاکتورهای ریسک، یا ریسک فاکتورهایی همچون فشار خون و کلسترول بالا اولین بار از کوهورت </w:t>
      </w:r>
      <w:r w:rsidR="00AD08FC">
        <w:rPr>
          <w:lang w:bidi="fa-IR"/>
        </w:rPr>
        <w:t>FHS</w:t>
      </w:r>
      <w:r w:rsidR="00AD08FC">
        <w:rPr>
          <w:rFonts w:hint="cs"/>
          <w:rtl/>
          <w:lang w:bidi="fa-IR"/>
        </w:rPr>
        <w:t xml:space="preserve"> اصلی به ادبیات معرفی شدند، و پس از آن ریسک فاکتورها معیار قابل اعتماد و دقیقی برای ارزیابی ریسک </w:t>
      </w:r>
      <w:r w:rsidR="00AD08FC">
        <w:rPr>
          <w:lang w:bidi="fa-IR"/>
        </w:rPr>
        <w:t>CVD</w:t>
      </w:r>
      <w:r w:rsidR="00AD08FC">
        <w:rPr>
          <w:rFonts w:hint="cs"/>
          <w:rtl/>
          <w:lang w:bidi="fa-IR"/>
        </w:rPr>
        <w:t xml:space="preserve"> در جمعیت عمومی </w:t>
      </w:r>
      <w:r w:rsidR="00E4282F">
        <w:rPr>
          <w:rFonts w:hint="cs"/>
          <w:rtl/>
          <w:lang w:bidi="fa-IR"/>
        </w:rPr>
        <w:t xml:space="preserve">در نظر گرفته شدند (233). یک مطالعة بلندمدت به نام </w:t>
      </w:r>
      <w:r w:rsidR="00E4282F">
        <w:rPr>
          <w:lang w:bidi="fa-IR"/>
        </w:rPr>
        <w:t>FHS</w:t>
      </w:r>
      <w:r w:rsidR="00E4282F">
        <w:rPr>
          <w:rFonts w:hint="cs"/>
          <w:rtl/>
          <w:lang w:bidi="fa-IR"/>
        </w:rPr>
        <w:t xml:space="preserve"> که در سال 1948 آغاز شد، امکان توسعة </w:t>
      </w:r>
      <w:r w:rsidR="005545F6">
        <w:rPr>
          <w:rFonts w:hint="cs"/>
          <w:rtl/>
          <w:lang w:bidi="fa-IR"/>
        </w:rPr>
        <w:t xml:space="preserve">نمرات ریسک (2 ساله، 10 ساله، و 30 ساله) ایجاد </w:t>
      </w:r>
      <w:r w:rsidR="005545F6">
        <w:rPr>
          <w:lang w:bidi="fa-IR"/>
        </w:rPr>
        <w:t>CVD</w:t>
      </w:r>
      <w:r w:rsidR="005545F6">
        <w:rPr>
          <w:rFonts w:hint="cs"/>
          <w:rtl/>
          <w:lang w:bidi="fa-IR"/>
        </w:rPr>
        <w:t xml:space="preserve"> را فراهم کرد (234، 235). </w:t>
      </w:r>
      <w:r w:rsidR="00CD3A51">
        <w:rPr>
          <w:rFonts w:hint="cs"/>
          <w:rtl/>
          <w:lang w:bidi="fa-IR"/>
        </w:rPr>
        <w:t xml:space="preserve">نمرة ریسک فرامینگهام ریسک ایجاد بیماری قلبی در طول ده سال بعدی زندگی را با توجه به ریسک فاکتورها و شدت خاص </w:t>
      </w:r>
      <w:r w:rsidR="00E42483">
        <w:rPr>
          <w:rFonts w:hint="cs"/>
          <w:rtl/>
          <w:lang w:bidi="fa-IR"/>
        </w:rPr>
        <w:t>در زمان ارزیابی نشان می دهد، و در ادامه، نمرات ریسک و دستورالعمل های دیگری نیز توسعه یافتند (204، 205، 209، 216-212، 218، 236).</w:t>
      </w:r>
    </w:p>
    <w:p w14:paraId="6C294887" w14:textId="0522398C" w:rsidR="00E42483" w:rsidRDefault="002B3C4E">
      <w:pPr>
        <w:rPr>
          <w:rtl/>
          <w:lang w:bidi="fa-IR"/>
        </w:rPr>
      </w:pPr>
      <w:r>
        <w:rPr>
          <w:rFonts w:hint="cs"/>
          <w:rtl/>
          <w:lang w:bidi="fa-IR"/>
        </w:rPr>
        <w:t>مشخص شده که همة الگوریتم های ریسک محدودیت هایی دارند، و در نتیجه، انتقادهایی دربارة فقدان اعتبار یا تولید برآوردهای ریسک بیش از واقع، از 25% تا 115%، به برآوردهای ریسک الگوریتم های مختلف وارد شده است</w:t>
      </w:r>
      <w:r w:rsidR="0038348B">
        <w:rPr>
          <w:rFonts w:hint="cs"/>
          <w:rtl/>
          <w:lang w:bidi="fa-IR"/>
        </w:rPr>
        <w:t xml:space="preserve"> (239-237). علیرغم این انتقادات، دستورالعمل های ملی در غرب از این الگوریتم های ریسک برای ارزیابی و هدایت درمان در پیشگیری از </w:t>
      </w:r>
      <w:r w:rsidR="0038348B">
        <w:rPr>
          <w:lang w:bidi="fa-IR"/>
        </w:rPr>
        <w:t>CVD</w:t>
      </w:r>
      <w:r w:rsidR="0038348B">
        <w:rPr>
          <w:rFonts w:hint="cs"/>
          <w:rtl/>
          <w:lang w:bidi="fa-IR"/>
        </w:rPr>
        <w:t xml:space="preserve"> استفاده کردند، </w:t>
      </w:r>
      <w:r w:rsidR="004061D8">
        <w:rPr>
          <w:rFonts w:hint="cs"/>
          <w:rtl/>
          <w:lang w:bidi="fa-IR"/>
        </w:rPr>
        <w:t xml:space="preserve">که باعث کاهش </w:t>
      </w:r>
      <w:r w:rsidR="004061D8">
        <w:rPr>
          <w:lang w:bidi="fa-IR"/>
        </w:rPr>
        <w:t>CVD</w:t>
      </w:r>
      <w:r w:rsidR="004061D8">
        <w:rPr>
          <w:rFonts w:hint="cs"/>
          <w:rtl/>
          <w:lang w:bidi="fa-IR"/>
        </w:rPr>
        <w:t>، به ویژه در ایالات متحده، در چهار دهة اخیر شد (200، 240).</w:t>
      </w:r>
    </w:p>
    <w:p w14:paraId="0D066B81" w14:textId="39BCF461" w:rsidR="004061D8" w:rsidRDefault="00474CBE">
      <w:pPr>
        <w:rPr>
          <w:rtl/>
          <w:lang w:bidi="fa-IR"/>
        </w:rPr>
      </w:pPr>
      <w:r>
        <w:rPr>
          <w:rFonts w:hint="cs"/>
          <w:rtl/>
          <w:lang w:bidi="fa-IR"/>
        </w:rPr>
        <w:t xml:space="preserve">برخلاف جمعیت های کشورهای غربی، تقریبا 80 درصد از </w:t>
      </w:r>
      <w:r>
        <w:rPr>
          <w:lang w:bidi="fa-IR"/>
        </w:rPr>
        <w:t>CVD</w:t>
      </w:r>
      <w:r>
        <w:rPr>
          <w:rFonts w:hint="cs"/>
          <w:rtl/>
          <w:lang w:bidi="fa-IR"/>
        </w:rPr>
        <w:t xml:space="preserve"> و مورتالیتة مرتبط با </w:t>
      </w:r>
      <w:r>
        <w:rPr>
          <w:lang w:bidi="fa-IR"/>
        </w:rPr>
        <w:t>CVD</w:t>
      </w:r>
      <w:r>
        <w:rPr>
          <w:rFonts w:hint="cs"/>
          <w:rtl/>
          <w:lang w:bidi="fa-IR"/>
        </w:rPr>
        <w:t xml:space="preserve"> در کشورهای در حال توسعة آسیا، خاورمیانه، و آفریقا رخ می دهد </w:t>
      </w:r>
      <w:r w:rsidR="00F167E5">
        <w:rPr>
          <w:rFonts w:hint="cs"/>
          <w:rtl/>
          <w:lang w:bidi="fa-IR"/>
        </w:rPr>
        <w:t xml:space="preserve">(219، 220). با این حال، فقط دستورالعمل های چینی و ژاپنی (222، 223) برای مدیریت دیس لیپیدمی به منظور کاهش ریسک </w:t>
      </w:r>
      <w:r w:rsidR="00F167E5">
        <w:rPr>
          <w:lang w:bidi="fa-IR"/>
        </w:rPr>
        <w:t>CVD</w:t>
      </w:r>
      <w:r w:rsidR="00F167E5">
        <w:rPr>
          <w:rFonts w:hint="cs"/>
          <w:rtl/>
          <w:lang w:bidi="fa-IR"/>
        </w:rPr>
        <w:t xml:space="preserve"> در این کشورها وجود دارند، که مبتنی بر نتایج مطالعات انجام شده روی جمعیت کشور و مطالعات غربی که از برآورد ریسک 10 سالة </w:t>
      </w:r>
      <w:r w:rsidR="00F167E5">
        <w:rPr>
          <w:lang w:bidi="fa-IR"/>
        </w:rPr>
        <w:t>CVD</w:t>
      </w:r>
      <w:r w:rsidR="00F167E5">
        <w:rPr>
          <w:rFonts w:hint="cs"/>
          <w:rtl/>
          <w:lang w:bidi="fa-IR"/>
        </w:rPr>
        <w:t xml:space="preserve"> استفاده کرده اند، می باشند.</w:t>
      </w:r>
    </w:p>
    <w:p w14:paraId="20F80402" w14:textId="1381A153" w:rsidR="00F167E5" w:rsidRDefault="00CF1268">
      <w:pPr>
        <w:rPr>
          <w:rtl/>
          <w:lang w:bidi="fa-IR"/>
        </w:rPr>
      </w:pPr>
      <w:r>
        <w:rPr>
          <w:rFonts w:hint="cs"/>
          <w:rtl/>
          <w:lang w:bidi="fa-IR"/>
        </w:rPr>
        <w:t xml:space="preserve">به دلیل </w:t>
      </w:r>
      <w:r w:rsidR="00D62D72">
        <w:rPr>
          <w:rFonts w:hint="cs"/>
          <w:rtl/>
          <w:lang w:bidi="fa-IR"/>
        </w:rPr>
        <w:t>تفاوت در دستورالعمل های ویژة هر منطقه (مثلا هند و جنوب آسیا)، بیشتر کشورهای خاورمیانه و آسیایی دیگر در تلاش هستند تا با استفاده از دستورالعمل های بین المللی موجود برای شیوه های محلی به جای توسعة دستورالعمل با توجه به اصول اولیة اپیدمیولوژی، این شکاف را پر کنند (229-224، 2</w:t>
      </w:r>
      <w:r w:rsidR="009C4369">
        <w:rPr>
          <w:rFonts w:hint="cs"/>
          <w:rtl/>
          <w:lang w:bidi="fa-IR"/>
        </w:rPr>
        <w:t xml:space="preserve">41، 241). برآورد نمرات ریسک نه تنها امکان ارزیابی عینی جدی بودن و احتمال بیماری را فراهم می کند، بلکه همچنین روشی برای به تعامل گذاشتن این اطلاعات با بیمار ارائه می نماید، و بنابراین اساس تصمیم گیری های درمانی را تشکیل می دهد. با این حال، </w:t>
      </w:r>
      <w:r w:rsidR="009A3EA9">
        <w:rPr>
          <w:rFonts w:hint="cs"/>
          <w:rtl/>
          <w:lang w:bidi="fa-IR"/>
        </w:rPr>
        <w:t xml:space="preserve">برآوردهای نمرات ریسک باید مبتنی بر داده های اپیدمیولوژیکی ویژة جمعیت باشند، و </w:t>
      </w:r>
      <w:r w:rsidR="002A628B">
        <w:rPr>
          <w:rFonts w:hint="cs"/>
          <w:rtl/>
          <w:lang w:bidi="fa-IR"/>
        </w:rPr>
        <w:t>متاسفانه، چنین الگوریتمی در کشورهای آسیایی وجود ندارد، و یکی از محدودیت های مهم برای تحویل هدفمند مراقبت های پیشگیرانة مورد نیاز برای حفظ سلامت قلبی عروقی را نشان می دهد.</w:t>
      </w:r>
    </w:p>
    <w:p w14:paraId="6F16AB0A" w14:textId="7995152F" w:rsidR="002A628B" w:rsidRDefault="004070A8">
      <w:pPr>
        <w:rPr>
          <w:b/>
          <w:bCs/>
          <w:rtl/>
          <w:lang w:bidi="fa-IR"/>
        </w:rPr>
      </w:pPr>
      <w:r>
        <w:rPr>
          <w:rFonts w:hint="cs"/>
          <w:b/>
          <w:bCs/>
          <w:rtl/>
          <w:lang w:bidi="fa-IR"/>
        </w:rPr>
        <w:t xml:space="preserve">2.2 </w:t>
      </w:r>
      <w:r>
        <w:rPr>
          <w:b/>
          <w:bCs/>
          <w:lang w:bidi="fa-IR"/>
        </w:rPr>
        <w:t>CVD</w:t>
      </w:r>
      <w:r>
        <w:rPr>
          <w:rFonts w:hint="cs"/>
          <w:b/>
          <w:bCs/>
          <w:rtl/>
          <w:lang w:bidi="fa-IR"/>
        </w:rPr>
        <w:t xml:space="preserve"> و ریسک فاکتورهای آن در جمعیت آسیایی</w:t>
      </w:r>
    </w:p>
    <w:p w14:paraId="675AA59B" w14:textId="47E4F826" w:rsidR="004070A8" w:rsidRDefault="001309B9">
      <w:pPr>
        <w:rPr>
          <w:rtl/>
          <w:lang w:bidi="fa-IR"/>
        </w:rPr>
      </w:pPr>
      <w:r>
        <w:rPr>
          <w:rFonts w:hint="cs"/>
          <w:rtl/>
          <w:lang w:bidi="fa-IR"/>
        </w:rPr>
        <w:lastRenderedPageBreak/>
        <w:t xml:space="preserve">بیماری قلبی عروقی، که یک وضعیت عمدتا بدون نشانه است، شایع ترین علت مرگ و ناتوانی در کشورهای توسعه یافته و در حال توسعه است، و اغلب تا زمانی که بیماری به مرحلة پیشرفته نرسیده نشانه های آن پدیدار نمی شوند (243). با در نظر گرفتن ایالات متحده به عنوان یک نمونه، نرخ مورتالیتة تنظیم شده براساس سن قابل انتساب به </w:t>
      </w:r>
      <w:r>
        <w:rPr>
          <w:lang w:bidi="fa-IR"/>
        </w:rPr>
        <w:t>CVD</w:t>
      </w:r>
      <w:r>
        <w:rPr>
          <w:rFonts w:hint="cs"/>
          <w:rtl/>
          <w:lang w:bidi="fa-IR"/>
        </w:rPr>
        <w:t xml:space="preserve"> براساس داده های سال 2017 برابر 219.4 به ازای هر 100000 نفر بود، و به طور میانگین، </w:t>
      </w:r>
      <w:r w:rsidR="000529EB">
        <w:rPr>
          <w:rFonts w:hint="cs"/>
          <w:rtl/>
          <w:lang w:bidi="fa-IR"/>
        </w:rPr>
        <w:t xml:space="preserve">حدودا هر 37 ثانیه یک نفر در ایالات متحده جان خود را به دلیل </w:t>
      </w:r>
      <w:r w:rsidR="000529EB">
        <w:rPr>
          <w:lang w:bidi="fa-IR"/>
        </w:rPr>
        <w:t>CVD</w:t>
      </w:r>
      <w:r w:rsidR="000529EB">
        <w:rPr>
          <w:rFonts w:hint="cs"/>
          <w:rtl/>
          <w:lang w:bidi="fa-IR"/>
        </w:rPr>
        <w:t xml:space="preserve"> از دست می دهد (</w:t>
      </w:r>
      <w:r w:rsidR="000529EB">
        <w:rPr>
          <w:lang w:bidi="fa-IR"/>
        </w:rPr>
        <w:t>AHA, 2020</w:t>
      </w:r>
      <w:r w:rsidR="000529EB">
        <w:rPr>
          <w:rFonts w:hint="cs"/>
          <w:rtl/>
          <w:lang w:bidi="fa-IR"/>
        </w:rPr>
        <w:t>).</w:t>
      </w:r>
    </w:p>
    <w:p w14:paraId="361093FC" w14:textId="32296A27" w:rsidR="000529EB" w:rsidRDefault="001F442C">
      <w:pPr>
        <w:rPr>
          <w:rtl/>
          <w:lang w:bidi="fa-IR"/>
        </w:rPr>
      </w:pPr>
      <w:r>
        <w:rPr>
          <w:rFonts w:hint="cs"/>
          <w:rtl/>
          <w:lang w:bidi="fa-IR"/>
        </w:rPr>
        <w:t xml:space="preserve">مطالعات کوهورت مشاهداتی بزرگ همچون فرامینگهام نقش مهمی در تعیین سیر طبیعی و </w:t>
      </w:r>
      <w:r w:rsidR="00B41F23">
        <w:rPr>
          <w:rFonts w:hint="cs"/>
          <w:rtl/>
          <w:lang w:bidi="fa-IR"/>
        </w:rPr>
        <w:t>تکامل</w:t>
      </w:r>
      <w:r>
        <w:rPr>
          <w:rFonts w:hint="cs"/>
          <w:rtl/>
          <w:lang w:bidi="fa-IR"/>
        </w:rPr>
        <w:t xml:space="preserve"> </w:t>
      </w:r>
      <w:r>
        <w:rPr>
          <w:lang w:bidi="fa-IR"/>
        </w:rPr>
        <w:t>CVD</w:t>
      </w:r>
      <w:r>
        <w:rPr>
          <w:rFonts w:hint="cs"/>
          <w:rtl/>
          <w:lang w:bidi="fa-IR"/>
        </w:rPr>
        <w:t xml:space="preserve"> ایفا می کنند، </w:t>
      </w:r>
      <w:r w:rsidR="00B41F23">
        <w:rPr>
          <w:rFonts w:hint="cs"/>
          <w:rtl/>
          <w:lang w:bidi="fa-IR"/>
        </w:rPr>
        <w:t>و در عین حال شواهدی از ریسک فاکتورها به عنوان مبنایی برای این مداخلات فراهم می نمایند (244). این مطالعات آینده نگر بزرگ</w:t>
      </w:r>
      <w:r w:rsidR="00286989">
        <w:rPr>
          <w:rFonts w:hint="cs"/>
          <w:rtl/>
          <w:lang w:bidi="fa-IR"/>
        </w:rPr>
        <w:t xml:space="preserve"> پایگاه های داده را غنی تر کرده، امکان توسعة نمرات ریسک را فراهم نموده، به بهینه سازی طبقه بندی ریسک بیماران (در معرض ریسک </w:t>
      </w:r>
      <w:r w:rsidR="00286989">
        <w:rPr>
          <w:lang w:bidi="fa-IR"/>
        </w:rPr>
        <w:t>CVD</w:t>
      </w:r>
      <w:r w:rsidR="00286989">
        <w:rPr>
          <w:rFonts w:hint="cs"/>
          <w:rtl/>
          <w:lang w:bidi="fa-IR"/>
        </w:rPr>
        <w:t xml:space="preserve">) کمک کرده، و تهیة پیش نویس هایی از دستورالعمل های مربوط به مداخلات درمانی مناسب تر و پیشگیری اولیه را تسهیل نموده اند. </w:t>
      </w:r>
      <w:r w:rsidR="009E26B5">
        <w:rPr>
          <w:rFonts w:hint="cs"/>
          <w:rtl/>
          <w:lang w:bidi="fa-IR"/>
        </w:rPr>
        <w:t xml:space="preserve">با این حال، مشکلات مربوط به برون یابی نتایج یک کوهورت به کوهورت دیگر یکی از محدودیت های اصلی مطالعاتی همچون </w:t>
      </w:r>
      <w:r w:rsidR="009E26B5">
        <w:rPr>
          <w:lang w:bidi="fa-IR"/>
        </w:rPr>
        <w:t>FHS</w:t>
      </w:r>
      <w:r w:rsidR="009E26B5">
        <w:rPr>
          <w:rFonts w:hint="cs"/>
          <w:rtl/>
          <w:lang w:bidi="fa-IR"/>
        </w:rPr>
        <w:t xml:space="preserve"> است، زیرا داده های مربوط به جمعیت های محلی معین باید </w:t>
      </w:r>
      <w:r w:rsidR="00645558">
        <w:rPr>
          <w:rFonts w:hint="cs"/>
          <w:rtl/>
          <w:lang w:bidi="fa-IR"/>
        </w:rPr>
        <w:t>برای بهینه سازی طبقه بندی ریسک استفاده شوند (245، 246).</w:t>
      </w:r>
    </w:p>
    <w:p w14:paraId="79DA3640" w14:textId="4CD743DD" w:rsidR="00645558" w:rsidRDefault="00A95E7E">
      <w:pPr>
        <w:rPr>
          <w:rtl/>
          <w:lang w:bidi="fa-IR"/>
        </w:rPr>
      </w:pPr>
      <w:r>
        <w:rPr>
          <w:rFonts w:hint="cs"/>
          <w:rtl/>
          <w:lang w:bidi="fa-IR"/>
        </w:rPr>
        <w:t xml:space="preserve">در انگلستان، شیوع </w:t>
      </w:r>
      <w:r>
        <w:rPr>
          <w:lang w:bidi="fa-IR"/>
        </w:rPr>
        <w:t>CVD</w:t>
      </w:r>
      <w:r>
        <w:rPr>
          <w:rFonts w:hint="cs"/>
          <w:rtl/>
          <w:lang w:bidi="fa-IR"/>
        </w:rPr>
        <w:t xml:space="preserve"> نشانه در در آسیایی ها مشابه با سفیدپوستان است (8.5% در مقابل 8.2%)، اگرچه </w:t>
      </w:r>
      <w:r>
        <w:rPr>
          <w:lang w:bidi="fa-IR"/>
        </w:rPr>
        <w:t>CVD</w:t>
      </w:r>
      <w:r>
        <w:rPr>
          <w:rFonts w:hint="cs"/>
          <w:rtl/>
          <w:lang w:bidi="fa-IR"/>
        </w:rPr>
        <w:t xml:space="preserve"> بدون نشانه یا خاموش در آسیایی ها بیشتر است (247). در ایالات متحده، شیوع </w:t>
      </w:r>
      <w:r>
        <w:rPr>
          <w:lang w:bidi="fa-IR"/>
        </w:rPr>
        <w:t>CVD</w:t>
      </w:r>
      <w:r>
        <w:rPr>
          <w:rFonts w:hint="cs"/>
          <w:rtl/>
          <w:lang w:bidi="fa-IR"/>
        </w:rPr>
        <w:t xml:space="preserve"> در آسیایی ها چهار برابر بیشتر از سفیدپوستان است (10.0% در مقابل 2.5%) (248). ریسک نسبی مورتالیتة </w:t>
      </w:r>
      <w:r>
        <w:rPr>
          <w:lang w:bidi="fa-IR"/>
        </w:rPr>
        <w:t>CVD</w:t>
      </w:r>
      <w:r>
        <w:rPr>
          <w:rFonts w:hint="cs"/>
          <w:rtl/>
          <w:lang w:bidi="fa-IR"/>
        </w:rPr>
        <w:t xml:space="preserve"> در آسیایی ها</w:t>
      </w:r>
      <w:r w:rsidR="00600DEA">
        <w:rPr>
          <w:rFonts w:hint="cs"/>
          <w:rtl/>
          <w:lang w:bidi="fa-IR"/>
        </w:rPr>
        <w:t xml:space="preserve"> در کانادا، آفریقای جنوبی، و انگلستان</w:t>
      </w:r>
      <w:r>
        <w:rPr>
          <w:rFonts w:hint="cs"/>
          <w:rtl/>
          <w:lang w:bidi="fa-IR"/>
        </w:rPr>
        <w:t xml:space="preserve"> 20 تا 50 درصد بیشتر از سفیدپوستان</w:t>
      </w:r>
      <w:r w:rsidR="00600DEA">
        <w:rPr>
          <w:rFonts w:hint="cs"/>
          <w:rtl/>
          <w:lang w:bidi="fa-IR"/>
        </w:rPr>
        <w:t>، در کانادا و سنگاپور 300 تا 400 درصد بیشتر از چینی ها، و در آفریقای جنوبی 20 برابر بیشتر از سیاه پوستان است (249).</w:t>
      </w:r>
    </w:p>
    <w:p w14:paraId="795363F3" w14:textId="358FA0D2" w:rsidR="00600DEA" w:rsidRDefault="00600DEA">
      <w:pPr>
        <w:rPr>
          <w:b/>
          <w:bCs/>
          <w:rtl/>
          <w:lang w:bidi="fa-IR"/>
        </w:rPr>
      </w:pPr>
      <w:r>
        <w:rPr>
          <w:rFonts w:hint="cs"/>
          <w:b/>
          <w:bCs/>
          <w:rtl/>
          <w:lang w:bidi="fa-IR"/>
        </w:rPr>
        <w:t>2.3 الگوریتم های محاسبه گر ریسک</w:t>
      </w:r>
    </w:p>
    <w:p w14:paraId="621967DC" w14:textId="7378B12E" w:rsidR="00600DEA" w:rsidRDefault="00315491">
      <w:pPr>
        <w:rPr>
          <w:rtl/>
          <w:lang w:bidi="fa-IR"/>
        </w:rPr>
      </w:pPr>
      <w:r>
        <w:rPr>
          <w:rFonts w:hint="cs"/>
          <w:rtl/>
          <w:lang w:bidi="fa-IR"/>
        </w:rPr>
        <w:t xml:space="preserve">تصمیم گیری درمانی مدرن از پزشکی تجربه محور به پزشکی شواهد محور انتقال یافته است. بیش از 40 سال قبل، </w:t>
      </w:r>
      <w:r>
        <w:rPr>
          <w:lang w:bidi="fa-IR"/>
        </w:rPr>
        <w:t>FHS</w:t>
      </w:r>
      <w:r>
        <w:rPr>
          <w:rFonts w:hint="cs"/>
          <w:rtl/>
          <w:lang w:bidi="fa-IR"/>
        </w:rPr>
        <w:t xml:space="preserve"> فرآیند بررسی اپیدمیولوژی </w:t>
      </w:r>
      <w:r>
        <w:rPr>
          <w:lang w:bidi="fa-IR"/>
        </w:rPr>
        <w:t>CVD</w:t>
      </w:r>
      <w:r>
        <w:rPr>
          <w:rFonts w:hint="cs"/>
          <w:rtl/>
          <w:lang w:bidi="fa-IR"/>
        </w:rPr>
        <w:t xml:space="preserve"> و تعریف ریسک فاکتورها را آغاز نمود. </w:t>
      </w:r>
      <w:r w:rsidR="008D282A">
        <w:rPr>
          <w:rFonts w:hint="cs"/>
          <w:rtl/>
          <w:lang w:bidi="fa-IR"/>
        </w:rPr>
        <w:t xml:space="preserve">با توجه به این که ارزیابی و پیشگیری واقعی نیازمند قطب نمایی برای تعیین ریسک واقعی ایجاد </w:t>
      </w:r>
      <w:r w:rsidR="008D282A">
        <w:rPr>
          <w:lang w:bidi="fa-IR"/>
        </w:rPr>
        <w:t>CVD</w:t>
      </w:r>
      <w:r w:rsidR="008D282A">
        <w:rPr>
          <w:rFonts w:hint="cs"/>
          <w:rtl/>
          <w:lang w:bidi="fa-IR"/>
        </w:rPr>
        <w:t xml:space="preserve"> بود، </w:t>
      </w:r>
      <w:r>
        <w:rPr>
          <w:rFonts w:hint="cs"/>
          <w:rtl/>
          <w:lang w:bidi="fa-IR"/>
        </w:rPr>
        <w:t xml:space="preserve">آگاهی از افزایش ریسک ایجاد </w:t>
      </w:r>
      <w:r>
        <w:rPr>
          <w:lang w:bidi="fa-IR"/>
        </w:rPr>
        <w:t>CVD</w:t>
      </w:r>
      <w:r>
        <w:rPr>
          <w:rFonts w:hint="cs"/>
          <w:rtl/>
          <w:lang w:bidi="fa-IR"/>
        </w:rPr>
        <w:t xml:space="preserve"> و مورتالیتة مرتبط با </w:t>
      </w:r>
      <w:r>
        <w:rPr>
          <w:lang w:bidi="fa-IR"/>
        </w:rPr>
        <w:t>CVD</w:t>
      </w:r>
      <w:r>
        <w:rPr>
          <w:rFonts w:hint="cs"/>
          <w:rtl/>
          <w:lang w:bidi="fa-IR"/>
        </w:rPr>
        <w:t xml:space="preserve"> برای مراقبت پیشگیرانه و استفاده از درمان های فارماکولوژیکی یا غیر فارماکولوژیکی (در یک جمعیت خاص) نیاز بود</w:t>
      </w:r>
      <w:r w:rsidR="008D282A">
        <w:rPr>
          <w:rFonts w:hint="cs"/>
          <w:rtl/>
          <w:lang w:bidi="fa-IR"/>
        </w:rPr>
        <w:t xml:space="preserve"> (218). علاوه بر این، </w:t>
      </w:r>
      <w:r w:rsidR="008A5984">
        <w:rPr>
          <w:rFonts w:hint="cs"/>
          <w:rtl/>
          <w:lang w:bidi="fa-IR"/>
        </w:rPr>
        <w:t xml:space="preserve">این اطلاعات ضروری در بسیاری از جمعیت ها وجود نداشتند و </w:t>
      </w:r>
      <w:r w:rsidR="00F70500">
        <w:rPr>
          <w:rFonts w:hint="cs"/>
          <w:rtl/>
          <w:lang w:bidi="fa-IR"/>
        </w:rPr>
        <w:t xml:space="preserve">برای </w:t>
      </w:r>
      <w:r w:rsidR="00FE0748">
        <w:rPr>
          <w:rFonts w:hint="cs"/>
          <w:rtl/>
          <w:lang w:bidi="fa-IR"/>
        </w:rPr>
        <w:t xml:space="preserve">تاثیر بر تصمیم گیری های سیاست های بهداشت عمومی و پیاده سازی آن ها نیاز فوری به آن ها وجود داشت. </w:t>
      </w:r>
      <w:r w:rsidR="00E33194">
        <w:rPr>
          <w:rFonts w:hint="cs"/>
          <w:rtl/>
          <w:lang w:bidi="fa-IR"/>
        </w:rPr>
        <w:t xml:space="preserve">جامعة علمی </w:t>
      </w:r>
      <w:r w:rsidR="00E33194">
        <w:rPr>
          <w:lang w:bidi="fa-IR"/>
        </w:rPr>
        <w:t>CVD</w:t>
      </w:r>
      <w:r w:rsidR="00E33194">
        <w:rPr>
          <w:rFonts w:hint="cs"/>
          <w:rtl/>
          <w:lang w:bidi="fa-IR"/>
        </w:rPr>
        <w:t xml:space="preserve"> اگرچه بی اشتباه نیست اما محاسبه گرهای ریسک را در ایالات متحده، انگلستان، و اروپا توسعه داده و اصلاح کرده است. بنابراین، شرح زمانی توسعة محاسبه گرهای ریسک (الگوریتم ها) با بحثی جامع در مورد محاسن و معایب هر محاسبه گر ارائه می شود.</w:t>
      </w:r>
    </w:p>
    <w:p w14:paraId="78321A9C" w14:textId="632FF88D" w:rsidR="00E33194" w:rsidRDefault="00E33194">
      <w:pPr>
        <w:rPr>
          <w:b/>
          <w:bCs/>
          <w:rtl/>
          <w:lang w:bidi="fa-IR"/>
        </w:rPr>
      </w:pPr>
      <w:r>
        <w:rPr>
          <w:rFonts w:hint="cs"/>
          <w:b/>
          <w:bCs/>
          <w:rtl/>
          <w:lang w:bidi="fa-IR"/>
        </w:rPr>
        <w:lastRenderedPageBreak/>
        <w:t xml:space="preserve">2.3.1 محاسبه گر ریسک 10 سالة نمرة ریسک فرامینگهام </w:t>
      </w:r>
      <w:r>
        <w:rPr>
          <w:b/>
          <w:bCs/>
          <w:lang w:bidi="fa-IR"/>
        </w:rPr>
        <w:t>(FRS)</w:t>
      </w:r>
    </w:p>
    <w:p w14:paraId="425F275E" w14:textId="35939A1B" w:rsidR="00E33194" w:rsidRDefault="00E57EE1">
      <w:pPr>
        <w:rPr>
          <w:rtl/>
          <w:lang w:bidi="fa-IR"/>
        </w:rPr>
      </w:pPr>
      <w:r>
        <w:rPr>
          <w:rFonts w:hint="cs"/>
          <w:rtl/>
          <w:lang w:bidi="fa-IR"/>
        </w:rPr>
        <w:t>محاسبه گرهای ریسک به عنوان تابعی کلی</w:t>
      </w:r>
      <w:r w:rsidR="00676A63">
        <w:rPr>
          <w:rFonts w:hint="cs"/>
          <w:rtl/>
          <w:lang w:bidi="fa-IR"/>
        </w:rPr>
        <w:t xml:space="preserve">، به عنوان یک سیستم دانش بنیان عمل می کنند که منطق فازی و پردازش مبتنی بر قواعد را ترکیب کرده و یک روش کمکی تصمیم گیری بهبود یافته برای ارزیابی ریسک ایجاد </w:t>
      </w:r>
      <w:r w:rsidR="00676A63">
        <w:rPr>
          <w:lang w:bidi="fa-IR"/>
        </w:rPr>
        <w:t>CVD</w:t>
      </w:r>
      <w:r w:rsidR="00676A63">
        <w:rPr>
          <w:rFonts w:hint="cs"/>
          <w:rtl/>
          <w:lang w:bidi="fa-IR"/>
        </w:rPr>
        <w:t xml:space="preserve"> ایجاد می کنند. </w:t>
      </w:r>
      <w:r w:rsidR="00730D88">
        <w:rPr>
          <w:rFonts w:hint="cs"/>
          <w:rtl/>
          <w:lang w:bidi="fa-IR"/>
        </w:rPr>
        <w:t xml:space="preserve">اصطلاحات، فاکتورهای ریسک (ریسک فاکتورها) نخستین بار (233) پس از آنالیز دو مطالعة کوهورت آینده نگر ابداع شدند: </w:t>
      </w:r>
      <w:r w:rsidR="00730D88">
        <w:rPr>
          <w:lang w:bidi="fa-IR"/>
        </w:rPr>
        <w:t>FHS</w:t>
      </w:r>
      <w:r w:rsidR="00730D88">
        <w:rPr>
          <w:rFonts w:hint="cs"/>
          <w:rtl/>
          <w:lang w:bidi="fa-IR"/>
        </w:rPr>
        <w:t xml:space="preserve">، که در سال 1948 آغاز شد (232) و </w:t>
      </w:r>
      <w:r w:rsidR="00730D88">
        <w:rPr>
          <w:lang w:bidi="fa-IR"/>
        </w:rPr>
        <w:t>FOS</w:t>
      </w:r>
      <w:r w:rsidR="00730D88">
        <w:rPr>
          <w:rFonts w:hint="cs"/>
          <w:rtl/>
          <w:lang w:bidi="fa-IR"/>
        </w:rPr>
        <w:t xml:space="preserve">، که در سال 1971 آغاز شد (211). از این 5127 نفر، 2283 نفر مرد و 2844 نفر زن </w:t>
      </w:r>
      <w:r w:rsidR="003D19D7">
        <w:rPr>
          <w:rFonts w:hint="cs"/>
          <w:rtl/>
          <w:lang w:bidi="fa-IR"/>
        </w:rPr>
        <w:t xml:space="preserve">45 تا 62 ساله و بدون بیماری قلبی کرونری </w:t>
      </w:r>
      <w:r w:rsidR="003D19D7">
        <w:rPr>
          <w:lang w:bidi="fa-IR"/>
        </w:rPr>
        <w:t>(CHD)</w:t>
      </w:r>
      <w:r w:rsidR="003D19D7">
        <w:rPr>
          <w:rFonts w:hint="cs"/>
          <w:rtl/>
          <w:lang w:bidi="fa-IR"/>
        </w:rPr>
        <w:t xml:space="preserve"> بودند (218). </w:t>
      </w:r>
      <w:r w:rsidR="00536377">
        <w:rPr>
          <w:rFonts w:hint="cs"/>
          <w:rtl/>
          <w:lang w:bidi="fa-IR"/>
        </w:rPr>
        <w:t xml:space="preserve">پس از شش سال فالوآپ، 186 نفر (مرد=125، زن=61) دچار </w:t>
      </w:r>
      <w:r w:rsidR="00536377">
        <w:rPr>
          <w:lang w:bidi="fa-IR"/>
        </w:rPr>
        <w:t>CHD</w:t>
      </w:r>
      <w:r w:rsidR="00536377">
        <w:rPr>
          <w:rFonts w:hint="cs"/>
          <w:rtl/>
          <w:lang w:bidi="fa-IR"/>
        </w:rPr>
        <w:t xml:space="preserve"> جدید شدند (شواهد بالینی از انفارکشن میوکارد، مرگ ناگهانی، یا آنژین پکتوریس (صدری) که با الکتروکاردیوگرافی به دست آمدند). مطالعة </w:t>
      </w:r>
      <w:r w:rsidR="00536377">
        <w:rPr>
          <w:lang w:bidi="fa-IR"/>
        </w:rPr>
        <w:t>FOS</w:t>
      </w:r>
      <w:r w:rsidR="00536377">
        <w:rPr>
          <w:rFonts w:hint="cs"/>
          <w:rtl/>
          <w:lang w:bidi="fa-IR"/>
        </w:rPr>
        <w:t xml:space="preserve"> شامل </w:t>
      </w:r>
      <w:r w:rsidR="00921FAE">
        <w:rPr>
          <w:rFonts w:hint="cs"/>
          <w:rtl/>
          <w:lang w:bidi="fa-IR"/>
        </w:rPr>
        <w:t xml:space="preserve">5124 پسر و دختر شرکت کنندگان اصلی </w:t>
      </w:r>
      <w:r w:rsidR="00921FAE">
        <w:rPr>
          <w:lang w:bidi="fa-IR"/>
        </w:rPr>
        <w:t>FHS</w:t>
      </w:r>
      <w:r w:rsidR="00921FAE">
        <w:rPr>
          <w:rFonts w:hint="cs"/>
          <w:rtl/>
          <w:lang w:bidi="fa-IR"/>
        </w:rPr>
        <w:t xml:space="preserve"> بود، و نتایج </w:t>
      </w:r>
      <w:r w:rsidR="00921FAE">
        <w:rPr>
          <w:lang w:bidi="fa-IR"/>
        </w:rPr>
        <w:t>FHS</w:t>
      </w:r>
      <w:r w:rsidR="00921FAE">
        <w:rPr>
          <w:rFonts w:hint="cs"/>
          <w:rtl/>
          <w:lang w:bidi="fa-IR"/>
        </w:rPr>
        <w:t xml:space="preserve"> و </w:t>
      </w:r>
      <w:r w:rsidR="00921FAE">
        <w:rPr>
          <w:lang w:bidi="fa-IR"/>
        </w:rPr>
        <w:t>FOS</w:t>
      </w:r>
      <w:r w:rsidR="00921FAE">
        <w:rPr>
          <w:rFonts w:hint="cs"/>
          <w:rtl/>
          <w:lang w:bidi="fa-IR"/>
        </w:rPr>
        <w:t xml:space="preserve"> از اولین نتایجی بودند که شواهدی روشن از تهدید ناشی از فشار خون، کلسترون خون زیاد، دود سیگار، چاقی، عدم فعالیت بدنی، و دیابت به عنوان ریسک فاکتورهای کلیدی مهم برای سلامت قلبی عروقی فراهم کردند. </w:t>
      </w:r>
    </w:p>
    <w:p w14:paraId="7A8BDFD0" w14:textId="38B56D38" w:rsidR="003B4BB8" w:rsidRDefault="003B4BB8">
      <w:pPr>
        <w:rPr>
          <w:rtl/>
          <w:lang w:bidi="fa-IR"/>
        </w:rPr>
      </w:pPr>
      <w:r>
        <w:rPr>
          <w:rFonts w:hint="cs"/>
          <w:rtl/>
          <w:lang w:bidi="fa-IR"/>
        </w:rPr>
        <w:t xml:space="preserve">نمرة ریسک فرامینگهام </w:t>
      </w:r>
      <w:r>
        <w:rPr>
          <w:lang w:bidi="fa-IR"/>
        </w:rPr>
        <w:t>(FRS)</w:t>
      </w:r>
      <w:r>
        <w:rPr>
          <w:rFonts w:hint="cs"/>
          <w:rtl/>
          <w:lang w:bidi="fa-IR"/>
        </w:rPr>
        <w:t xml:space="preserve"> اولین بار برای برآورد ریسک 10 سالة ایجاد بیماری قلبی براساس نتایج 2489 مرد و 2856 زن 30 تا 74 ساله در زمان اولین معاینة </w:t>
      </w:r>
      <w:r>
        <w:rPr>
          <w:lang w:bidi="fa-IR"/>
        </w:rPr>
        <w:t>FHS</w:t>
      </w:r>
      <w:r>
        <w:rPr>
          <w:rFonts w:hint="cs"/>
          <w:rtl/>
          <w:lang w:bidi="fa-IR"/>
        </w:rPr>
        <w:t xml:space="preserve"> در میان سال های 1971 تا 1974 توسعه یافت</w:t>
      </w:r>
      <w:r w:rsidR="00695B12">
        <w:rPr>
          <w:rFonts w:hint="cs"/>
          <w:rtl/>
          <w:lang w:bidi="fa-IR"/>
        </w:rPr>
        <w:t xml:space="preserve"> (218). </w:t>
      </w:r>
      <w:r w:rsidR="00C24CB8">
        <w:rPr>
          <w:rFonts w:hint="cs"/>
          <w:rtl/>
          <w:lang w:bidi="fa-IR"/>
        </w:rPr>
        <w:t xml:space="preserve">شرکت کنندگان در یازدهمین معاینة کوهورت </w:t>
      </w:r>
      <w:r w:rsidR="00C24CB8">
        <w:rPr>
          <w:lang w:bidi="fa-IR"/>
        </w:rPr>
        <w:t>FHS</w:t>
      </w:r>
      <w:r w:rsidR="00C24CB8">
        <w:rPr>
          <w:rFonts w:hint="cs"/>
          <w:rtl/>
          <w:lang w:bidi="fa-IR"/>
        </w:rPr>
        <w:t xml:space="preserve"> اصلی یا اولین معاینة </w:t>
      </w:r>
      <w:r w:rsidR="00C24CB8">
        <w:rPr>
          <w:lang w:bidi="fa-IR"/>
        </w:rPr>
        <w:t>FOS</w:t>
      </w:r>
      <w:r w:rsidR="00C24CB8">
        <w:rPr>
          <w:rFonts w:hint="cs"/>
          <w:rtl/>
          <w:lang w:bidi="fa-IR"/>
        </w:rPr>
        <w:t xml:space="preserve"> شرکت کردند، و نمرة ریسک 10 سالة اختصاصی جنسیت </w:t>
      </w:r>
      <w:r w:rsidR="00C24CB8">
        <w:rPr>
          <w:lang w:bidi="fa-IR"/>
        </w:rPr>
        <w:t>CVD</w:t>
      </w:r>
      <w:r w:rsidR="00C24CB8">
        <w:rPr>
          <w:rFonts w:hint="cs"/>
          <w:rtl/>
          <w:lang w:bidi="fa-IR"/>
        </w:rPr>
        <w:t xml:space="preserve"> توسعه یافت. نمرة </w:t>
      </w:r>
      <w:r w:rsidR="00C24CB8">
        <w:rPr>
          <w:lang w:bidi="fa-IR"/>
        </w:rPr>
        <w:t>FRS</w:t>
      </w:r>
      <w:r w:rsidR="00C24CB8">
        <w:rPr>
          <w:rFonts w:hint="cs"/>
          <w:rtl/>
          <w:lang w:bidi="fa-IR"/>
        </w:rPr>
        <w:t xml:space="preserve"> اطلاعات </w:t>
      </w:r>
      <w:r w:rsidR="00C24CB8">
        <w:rPr>
          <w:lang w:bidi="fa-IR"/>
        </w:rPr>
        <w:t>BP</w:t>
      </w:r>
      <w:r w:rsidR="00C24CB8">
        <w:rPr>
          <w:rFonts w:hint="cs"/>
          <w:rtl/>
          <w:lang w:bidi="fa-IR"/>
        </w:rPr>
        <w:t xml:space="preserve">، </w:t>
      </w:r>
      <w:r w:rsidR="00C24CB8">
        <w:rPr>
          <w:lang w:bidi="fa-IR"/>
        </w:rPr>
        <w:t>TC</w:t>
      </w:r>
      <w:r w:rsidR="00C24CB8">
        <w:rPr>
          <w:rFonts w:hint="cs"/>
          <w:rtl/>
          <w:lang w:bidi="fa-IR"/>
        </w:rPr>
        <w:t xml:space="preserve">، </w:t>
      </w:r>
      <w:r w:rsidR="00C24CB8">
        <w:rPr>
          <w:lang w:bidi="fa-IR"/>
        </w:rPr>
        <w:t>LCL-C</w:t>
      </w:r>
      <w:r w:rsidR="00C24CB8">
        <w:rPr>
          <w:rFonts w:hint="cs"/>
          <w:rtl/>
          <w:lang w:bidi="fa-IR"/>
        </w:rPr>
        <w:t xml:space="preserve">، و </w:t>
      </w:r>
      <w:r w:rsidR="00C24CB8">
        <w:rPr>
          <w:lang w:bidi="fa-IR"/>
        </w:rPr>
        <w:t>HDL-C</w:t>
      </w:r>
      <w:r w:rsidR="00C24CB8">
        <w:rPr>
          <w:rFonts w:hint="cs"/>
          <w:rtl/>
          <w:lang w:bidi="fa-IR"/>
        </w:rPr>
        <w:t xml:space="preserve"> را برای برآورد ریسک نسبی و مطلق </w:t>
      </w:r>
      <w:r w:rsidR="00C24CB8">
        <w:rPr>
          <w:lang w:bidi="fa-IR"/>
        </w:rPr>
        <w:t>CHD</w:t>
      </w:r>
      <w:r w:rsidR="00C24CB8">
        <w:rPr>
          <w:rFonts w:hint="cs"/>
          <w:rtl/>
          <w:lang w:bidi="fa-IR"/>
        </w:rPr>
        <w:t xml:space="preserve"> با رویکرد وزن دهی به ریسک فاکتور </w:t>
      </w:r>
      <w:r w:rsidR="000B30EA">
        <w:rPr>
          <w:rFonts w:hint="cs"/>
          <w:rtl/>
          <w:lang w:bidi="fa-IR"/>
        </w:rPr>
        <w:t xml:space="preserve">ادغام نمود. جدول 1 نرخ </w:t>
      </w:r>
      <w:r w:rsidR="000B30EA">
        <w:rPr>
          <w:lang w:bidi="fa-IR"/>
        </w:rPr>
        <w:t>CHD</w:t>
      </w:r>
      <w:r w:rsidR="000B30EA">
        <w:rPr>
          <w:rFonts w:hint="cs"/>
          <w:rtl/>
          <w:lang w:bidi="fa-IR"/>
        </w:rPr>
        <w:t xml:space="preserve"> تنظیم شده براساس سن 10 ساله را برای</w:t>
      </w:r>
      <w:r w:rsidR="00350463">
        <w:rPr>
          <w:rFonts w:hint="cs"/>
          <w:rtl/>
          <w:lang w:bidi="fa-IR"/>
        </w:rPr>
        <w:t xml:space="preserve"> دسته های</w:t>
      </w:r>
      <w:r w:rsidR="000B30EA">
        <w:rPr>
          <w:rFonts w:hint="cs"/>
          <w:rtl/>
          <w:lang w:bidi="fa-IR"/>
        </w:rPr>
        <w:t xml:space="preserve"> فشار خون </w:t>
      </w:r>
      <w:r w:rsidR="00350463">
        <w:rPr>
          <w:rFonts w:hint="cs"/>
          <w:rtl/>
          <w:lang w:bidi="fa-IR"/>
        </w:rPr>
        <w:t>و</w:t>
      </w:r>
      <w:r w:rsidR="000B30EA">
        <w:rPr>
          <w:rFonts w:hint="cs"/>
          <w:rtl/>
          <w:lang w:bidi="fa-IR"/>
        </w:rPr>
        <w:t xml:space="preserve"> کلسترول مردان و زنان که براساس الگوریتم </w:t>
      </w:r>
      <w:r w:rsidR="000B30EA">
        <w:rPr>
          <w:lang w:bidi="fa-IR"/>
        </w:rPr>
        <w:t>FRS</w:t>
      </w:r>
      <w:r w:rsidR="000B30EA">
        <w:rPr>
          <w:rFonts w:hint="cs"/>
          <w:rtl/>
          <w:lang w:bidi="fa-IR"/>
        </w:rPr>
        <w:t xml:space="preserve"> محاسبه شده است نشان می دهد.</w:t>
      </w:r>
    </w:p>
    <w:p w14:paraId="22766415" w14:textId="4E42FA10" w:rsidR="00D11460" w:rsidRDefault="00D11460" w:rsidP="00D11460">
      <w:pPr>
        <w:pStyle w:val="Caption"/>
        <w:keepNext/>
        <w:rPr>
          <w:rFonts w:hint="cs"/>
          <w:rtl/>
          <w:lang w:bidi="fa-IR"/>
        </w:rPr>
      </w:pPr>
      <w:r>
        <w:rPr>
          <w:rtl/>
        </w:rPr>
        <w:t xml:space="preserve">جدول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426460">
        <w:rPr>
          <w:noProof/>
          <w:rtl/>
        </w:rPr>
        <w:t>1</w:t>
      </w:r>
      <w:r>
        <w:rPr>
          <w:rtl/>
        </w:rPr>
        <w:fldChar w:fldCharType="end"/>
      </w:r>
      <w:r w:rsidR="00512CEF">
        <w:rPr>
          <w:rFonts w:hint="cs"/>
          <w:rtl/>
        </w:rPr>
        <w:t xml:space="preserve"> ریسک </w:t>
      </w:r>
      <w:r w:rsidR="00512CEF">
        <w:t>CVD</w:t>
      </w:r>
      <w:r w:rsidR="00512CEF">
        <w:rPr>
          <w:rFonts w:hint="cs"/>
          <w:rtl/>
          <w:lang w:bidi="fa-IR"/>
        </w:rPr>
        <w:t xml:space="preserve"> براساس دستة فشار خون و لیپید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56"/>
        <w:gridCol w:w="978"/>
        <w:gridCol w:w="1134"/>
        <w:gridCol w:w="1318"/>
        <w:gridCol w:w="978"/>
        <w:gridCol w:w="1134"/>
        <w:gridCol w:w="1318"/>
      </w:tblGrid>
      <w:tr w:rsidR="00A764C1" w:rsidRPr="00B82602" w14:paraId="1C6184FA" w14:textId="77777777" w:rsidTr="00B82602">
        <w:trPr>
          <w:trHeight w:hRule="exact" w:val="394"/>
          <w:jc w:val="center"/>
        </w:trPr>
        <w:tc>
          <w:tcPr>
            <w:tcW w:w="2156" w:type="dxa"/>
            <w:vMerge w:val="restart"/>
            <w:tcBorders>
              <w:top w:val="single" w:sz="4" w:space="0" w:color="000000"/>
            </w:tcBorders>
            <w:shd w:val="clear" w:color="auto" w:fill="FFFFFF"/>
            <w:vAlign w:val="bottom"/>
          </w:tcPr>
          <w:p w14:paraId="64263353" w14:textId="77777777" w:rsidR="00A764C1" w:rsidRPr="00A764C1" w:rsidRDefault="00A764C1" w:rsidP="00764D89">
            <w:pPr>
              <w:rPr>
                <w:rFonts w:eastAsia="Calibri"/>
                <w:sz w:val="18"/>
                <w:szCs w:val="22"/>
                <w:lang w:eastAsia="en-US" w:bidi="en-GB"/>
              </w:rPr>
            </w:pPr>
          </w:p>
        </w:tc>
        <w:tc>
          <w:tcPr>
            <w:tcW w:w="0" w:type="auto"/>
            <w:gridSpan w:val="3"/>
            <w:shd w:val="clear" w:color="auto" w:fill="F2F2F2"/>
            <w:vAlign w:val="center"/>
          </w:tcPr>
          <w:p w14:paraId="288BED51" w14:textId="2318BB79" w:rsidR="00A764C1" w:rsidRPr="00A764C1" w:rsidRDefault="0054166F" w:rsidP="00764D89">
            <w:pPr>
              <w:jc w:val="center"/>
              <w:rPr>
                <w:rFonts w:eastAsia="Calibri"/>
                <w:b/>
                <w:bCs/>
                <w:sz w:val="18"/>
                <w:szCs w:val="22"/>
                <w:lang w:eastAsia="en-US" w:bidi="en-GB"/>
              </w:rPr>
            </w:pPr>
            <w:proofErr w:type="spellStart"/>
            <w:r w:rsidRPr="00B82602">
              <w:rPr>
                <w:rFonts w:eastAsia="Calibri"/>
                <w:b/>
                <w:bCs/>
                <w:sz w:val="18"/>
                <w:szCs w:val="22"/>
                <w:rtl/>
                <w:lang w:eastAsia="en-US" w:bidi="en-GB"/>
              </w:rPr>
              <w:t>مردان</w:t>
            </w:r>
            <w:proofErr w:type="spellEnd"/>
          </w:p>
        </w:tc>
        <w:tc>
          <w:tcPr>
            <w:tcW w:w="0" w:type="auto"/>
            <w:gridSpan w:val="3"/>
            <w:shd w:val="clear" w:color="auto" w:fill="F2F2F2"/>
            <w:vAlign w:val="center"/>
          </w:tcPr>
          <w:p w14:paraId="1B1C0110" w14:textId="3D7A25B6" w:rsidR="00A764C1" w:rsidRPr="00A764C1" w:rsidRDefault="0054166F" w:rsidP="00764D89">
            <w:pPr>
              <w:jc w:val="center"/>
              <w:rPr>
                <w:rFonts w:eastAsia="Calibri"/>
                <w:b/>
                <w:bCs/>
                <w:sz w:val="18"/>
                <w:szCs w:val="22"/>
                <w:lang w:eastAsia="en-US" w:bidi="en-GB"/>
              </w:rPr>
            </w:pPr>
            <w:proofErr w:type="spellStart"/>
            <w:r w:rsidRPr="00B82602">
              <w:rPr>
                <w:rFonts w:eastAsia="Calibri"/>
                <w:b/>
                <w:bCs/>
                <w:sz w:val="18"/>
                <w:szCs w:val="22"/>
                <w:rtl/>
                <w:lang w:eastAsia="en-US" w:bidi="en-GB"/>
              </w:rPr>
              <w:t>زنان</w:t>
            </w:r>
            <w:proofErr w:type="spellEnd"/>
          </w:p>
        </w:tc>
      </w:tr>
      <w:tr w:rsidR="0054166F" w:rsidRPr="00B82602" w14:paraId="1C8B5D1F" w14:textId="77777777" w:rsidTr="00B82602">
        <w:trPr>
          <w:trHeight w:hRule="exact" w:val="394"/>
          <w:jc w:val="center"/>
        </w:trPr>
        <w:tc>
          <w:tcPr>
            <w:tcW w:w="2156" w:type="dxa"/>
            <w:vMerge/>
            <w:shd w:val="clear" w:color="auto" w:fill="FFFFFF"/>
            <w:vAlign w:val="bottom"/>
          </w:tcPr>
          <w:p w14:paraId="64372D34" w14:textId="77777777" w:rsidR="0054166F" w:rsidRPr="00A764C1" w:rsidRDefault="0054166F" w:rsidP="00764D89">
            <w:pPr>
              <w:rPr>
                <w:rFonts w:eastAsia="Calibri"/>
                <w:sz w:val="18"/>
                <w:szCs w:val="22"/>
                <w:lang w:eastAsia="en-US" w:bidi="en-GB"/>
              </w:rPr>
            </w:pPr>
          </w:p>
        </w:tc>
        <w:tc>
          <w:tcPr>
            <w:tcW w:w="0" w:type="auto"/>
            <w:shd w:val="clear" w:color="auto" w:fill="FFFFFF"/>
            <w:vAlign w:val="center"/>
          </w:tcPr>
          <w:p w14:paraId="33CE218C" w14:textId="6D835C0A" w:rsidR="0054166F" w:rsidRPr="00A764C1" w:rsidRDefault="0054166F" w:rsidP="00764D89">
            <w:pPr>
              <w:rPr>
                <w:rFonts w:eastAsia="Calibri" w:hint="cs"/>
                <w:b/>
                <w:bCs/>
                <w:sz w:val="18"/>
                <w:szCs w:val="22"/>
                <w:rtl/>
                <w:lang w:eastAsia="en-US" w:bidi="fa-IR"/>
              </w:rPr>
            </w:pPr>
            <w:r w:rsidRPr="00B82602">
              <w:rPr>
                <w:rFonts w:eastAsia="Calibri"/>
                <w:b/>
                <w:bCs/>
                <w:sz w:val="18"/>
                <w:szCs w:val="22"/>
                <w:lang w:eastAsia="en-US" w:bidi="en-GB"/>
              </w:rPr>
              <w:t>P</w:t>
            </w:r>
            <w:r w:rsidRPr="00B82602">
              <w:rPr>
                <w:rFonts w:eastAsia="Calibri" w:hint="cs"/>
                <w:b/>
                <w:bCs/>
                <w:sz w:val="18"/>
                <w:szCs w:val="22"/>
                <w:rtl/>
                <w:lang w:eastAsia="en-US" w:bidi="fa-IR"/>
              </w:rPr>
              <w:t>-سال**</w:t>
            </w:r>
          </w:p>
        </w:tc>
        <w:tc>
          <w:tcPr>
            <w:tcW w:w="0" w:type="auto"/>
            <w:shd w:val="clear" w:color="auto" w:fill="FFFFFF"/>
            <w:vAlign w:val="center"/>
          </w:tcPr>
          <w:p w14:paraId="05E9C2CB" w14:textId="1D058FE9" w:rsidR="0054166F" w:rsidRPr="00A764C1" w:rsidRDefault="0054166F" w:rsidP="00764D89">
            <w:pPr>
              <w:rPr>
                <w:rFonts w:eastAsia="Calibri"/>
                <w:b/>
                <w:bCs/>
                <w:sz w:val="18"/>
                <w:szCs w:val="22"/>
                <w:lang w:eastAsia="en-US" w:bidi="en-GB"/>
              </w:rPr>
            </w:pPr>
            <w:proofErr w:type="spellStart"/>
            <w:r w:rsidRPr="00B82602">
              <w:rPr>
                <w:rFonts w:eastAsia="Calibri"/>
                <w:b/>
                <w:bCs/>
                <w:sz w:val="18"/>
                <w:szCs w:val="22"/>
                <w:rtl/>
                <w:lang w:eastAsia="en-US" w:bidi="en-GB"/>
              </w:rPr>
              <w:t>رخدادها</w:t>
            </w:r>
            <w:proofErr w:type="spellEnd"/>
            <w:r w:rsidRPr="00B82602">
              <w:rPr>
                <w:rFonts w:eastAsia="Calibri"/>
                <w:b/>
                <w:bCs/>
                <w:sz w:val="18"/>
                <w:szCs w:val="22"/>
                <w:rtl/>
                <w:lang w:eastAsia="en-US" w:bidi="en-GB"/>
              </w:rPr>
              <w:t xml:space="preserve"> (%)</w:t>
            </w:r>
          </w:p>
        </w:tc>
        <w:tc>
          <w:tcPr>
            <w:tcW w:w="0" w:type="auto"/>
            <w:shd w:val="clear" w:color="auto" w:fill="FFFFFF"/>
            <w:vAlign w:val="center"/>
          </w:tcPr>
          <w:p w14:paraId="73E28B6F" w14:textId="1BE93462" w:rsidR="0054166F" w:rsidRPr="00A764C1" w:rsidRDefault="0054166F" w:rsidP="00764D89">
            <w:pPr>
              <w:rPr>
                <w:rFonts w:eastAsia="Calibri"/>
                <w:b/>
                <w:bCs/>
                <w:sz w:val="18"/>
                <w:szCs w:val="22"/>
                <w:lang w:eastAsia="en-US" w:bidi="en-GB"/>
              </w:rPr>
            </w:pPr>
            <w:proofErr w:type="spellStart"/>
            <w:r w:rsidRPr="00B82602">
              <w:rPr>
                <w:rFonts w:eastAsia="Calibri"/>
                <w:b/>
                <w:bCs/>
                <w:sz w:val="18"/>
                <w:szCs w:val="22"/>
                <w:rtl/>
                <w:lang w:eastAsia="en-US" w:bidi="en-GB"/>
              </w:rPr>
              <w:t>نرخ</w:t>
            </w:r>
            <w:proofErr w:type="spellEnd"/>
            <w:r w:rsidRPr="00B82602">
              <w:rPr>
                <w:rFonts w:eastAsia="Calibri"/>
                <w:b/>
                <w:bCs/>
                <w:sz w:val="18"/>
                <w:szCs w:val="22"/>
                <w:rtl/>
                <w:lang w:eastAsia="en-US" w:bidi="en-GB"/>
              </w:rPr>
              <w:t xml:space="preserve"> 10 </w:t>
            </w:r>
            <w:proofErr w:type="spellStart"/>
            <w:r w:rsidRPr="00B82602">
              <w:rPr>
                <w:rFonts w:eastAsia="Calibri"/>
                <w:b/>
                <w:bCs/>
                <w:sz w:val="18"/>
                <w:szCs w:val="22"/>
                <w:rtl/>
                <w:lang w:eastAsia="en-US" w:bidi="en-GB"/>
              </w:rPr>
              <w:t>ساله</w:t>
            </w:r>
            <w:proofErr w:type="spellEnd"/>
            <w:r w:rsidRPr="00B82602">
              <w:rPr>
                <w:rFonts w:eastAsia="Calibri"/>
                <w:b/>
                <w:bCs/>
                <w:sz w:val="18"/>
                <w:szCs w:val="22"/>
                <w:rtl/>
                <w:lang w:eastAsia="en-US" w:bidi="en-GB"/>
              </w:rPr>
              <w:t>*</w:t>
            </w:r>
          </w:p>
        </w:tc>
        <w:tc>
          <w:tcPr>
            <w:tcW w:w="0" w:type="auto"/>
            <w:shd w:val="clear" w:color="auto" w:fill="FFFFFF"/>
            <w:vAlign w:val="center"/>
          </w:tcPr>
          <w:p w14:paraId="550C092D" w14:textId="4D84BC23" w:rsidR="0054166F" w:rsidRPr="00A764C1" w:rsidRDefault="0054166F" w:rsidP="00764D89">
            <w:pPr>
              <w:rPr>
                <w:rFonts w:eastAsia="Calibri"/>
                <w:b/>
                <w:bCs/>
                <w:sz w:val="18"/>
                <w:szCs w:val="22"/>
                <w:lang w:eastAsia="en-US" w:bidi="en-GB"/>
              </w:rPr>
            </w:pPr>
            <w:r w:rsidRPr="00B82602">
              <w:rPr>
                <w:rFonts w:eastAsia="Calibri"/>
                <w:b/>
                <w:bCs/>
                <w:sz w:val="18"/>
                <w:szCs w:val="22"/>
                <w:lang w:eastAsia="en-US" w:bidi="en-GB"/>
              </w:rPr>
              <w:t>P</w:t>
            </w:r>
            <w:r w:rsidRPr="00B82602">
              <w:rPr>
                <w:rFonts w:eastAsia="Calibri" w:hint="cs"/>
                <w:b/>
                <w:bCs/>
                <w:sz w:val="18"/>
                <w:szCs w:val="22"/>
                <w:rtl/>
                <w:lang w:eastAsia="en-US" w:bidi="fa-IR"/>
              </w:rPr>
              <w:t>-سال**</w:t>
            </w:r>
          </w:p>
        </w:tc>
        <w:tc>
          <w:tcPr>
            <w:tcW w:w="0" w:type="auto"/>
            <w:shd w:val="clear" w:color="auto" w:fill="FFFFFF"/>
            <w:vAlign w:val="center"/>
          </w:tcPr>
          <w:p w14:paraId="49C8D3E5" w14:textId="407C2AEE" w:rsidR="0054166F" w:rsidRPr="00A764C1" w:rsidRDefault="0054166F" w:rsidP="00764D89">
            <w:pPr>
              <w:rPr>
                <w:rFonts w:eastAsia="Calibri"/>
                <w:b/>
                <w:bCs/>
                <w:sz w:val="18"/>
                <w:szCs w:val="22"/>
                <w:lang w:eastAsia="en-US" w:bidi="en-GB"/>
              </w:rPr>
            </w:pPr>
            <w:proofErr w:type="spellStart"/>
            <w:r w:rsidRPr="00B82602">
              <w:rPr>
                <w:rFonts w:eastAsia="Calibri"/>
                <w:b/>
                <w:bCs/>
                <w:sz w:val="18"/>
                <w:szCs w:val="22"/>
                <w:rtl/>
                <w:lang w:eastAsia="en-US" w:bidi="en-GB"/>
              </w:rPr>
              <w:t>رخدادها</w:t>
            </w:r>
            <w:proofErr w:type="spellEnd"/>
            <w:r w:rsidRPr="00B82602">
              <w:rPr>
                <w:rFonts w:eastAsia="Calibri"/>
                <w:b/>
                <w:bCs/>
                <w:sz w:val="18"/>
                <w:szCs w:val="22"/>
                <w:rtl/>
                <w:lang w:eastAsia="en-US" w:bidi="en-GB"/>
              </w:rPr>
              <w:t xml:space="preserve"> (%)</w:t>
            </w:r>
          </w:p>
        </w:tc>
        <w:tc>
          <w:tcPr>
            <w:tcW w:w="0" w:type="auto"/>
            <w:shd w:val="clear" w:color="auto" w:fill="FFFFFF"/>
            <w:vAlign w:val="center"/>
          </w:tcPr>
          <w:p w14:paraId="3875DC26" w14:textId="521FC606" w:rsidR="0054166F" w:rsidRPr="00A764C1" w:rsidRDefault="0054166F" w:rsidP="00764D89">
            <w:pPr>
              <w:rPr>
                <w:rFonts w:eastAsia="Calibri"/>
                <w:b/>
                <w:bCs/>
                <w:sz w:val="18"/>
                <w:szCs w:val="22"/>
                <w:lang w:eastAsia="en-US" w:bidi="en-GB"/>
              </w:rPr>
            </w:pPr>
            <w:proofErr w:type="spellStart"/>
            <w:r w:rsidRPr="00B82602">
              <w:rPr>
                <w:rFonts w:eastAsia="Calibri"/>
                <w:b/>
                <w:bCs/>
                <w:sz w:val="18"/>
                <w:szCs w:val="22"/>
                <w:rtl/>
                <w:lang w:eastAsia="en-US" w:bidi="en-GB"/>
              </w:rPr>
              <w:t>نرخ</w:t>
            </w:r>
            <w:proofErr w:type="spellEnd"/>
            <w:r w:rsidRPr="00B82602">
              <w:rPr>
                <w:rFonts w:eastAsia="Calibri"/>
                <w:b/>
                <w:bCs/>
                <w:sz w:val="18"/>
                <w:szCs w:val="22"/>
                <w:rtl/>
                <w:lang w:eastAsia="en-US" w:bidi="en-GB"/>
              </w:rPr>
              <w:t xml:space="preserve"> 10 </w:t>
            </w:r>
            <w:proofErr w:type="spellStart"/>
            <w:r w:rsidRPr="00B82602">
              <w:rPr>
                <w:rFonts w:eastAsia="Calibri"/>
                <w:b/>
                <w:bCs/>
                <w:sz w:val="18"/>
                <w:szCs w:val="22"/>
                <w:rtl/>
                <w:lang w:eastAsia="en-US" w:bidi="en-GB"/>
              </w:rPr>
              <w:t>ساله</w:t>
            </w:r>
            <w:proofErr w:type="spellEnd"/>
            <w:r w:rsidRPr="00B82602">
              <w:rPr>
                <w:rFonts w:eastAsia="Calibri"/>
                <w:b/>
                <w:bCs/>
                <w:sz w:val="18"/>
                <w:szCs w:val="22"/>
                <w:rtl/>
                <w:lang w:eastAsia="en-US" w:bidi="en-GB"/>
              </w:rPr>
              <w:t>*</w:t>
            </w:r>
          </w:p>
        </w:tc>
      </w:tr>
      <w:tr w:rsidR="0054166F" w:rsidRPr="00B82602" w14:paraId="719B76C3" w14:textId="77777777" w:rsidTr="00B82602">
        <w:trPr>
          <w:trHeight w:hRule="exact" w:val="389"/>
          <w:jc w:val="center"/>
        </w:trPr>
        <w:tc>
          <w:tcPr>
            <w:tcW w:w="2156" w:type="dxa"/>
            <w:shd w:val="clear" w:color="auto" w:fill="FFFFFF"/>
            <w:vAlign w:val="bottom"/>
          </w:tcPr>
          <w:p w14:paraId="29803465" w14:textId="6CD715A5" w:rsidR="00A764C1" w:rsidRPr="00A764C1" w:rsidRDefault="003A15CC" w:rsidP="00764D89">
            <w:pPr>
              <w:jc w:val="left"/>
              <w:rPr>
                <w:rFonts w:eastAsia="Calibri"/>
                <w:b/>
                <w:bCs/>
                <w:sz w:val="18"/>
                <w:szCs w:val="22"/>
                <w:lang w:eastAsia="en-US" w:bidi="en-GB"/>
              </w:rPr>
            </w:pPr>
            <w:proofErr w:type="spellStart"/>
            <w:r w:rsidRPr="00B82602">
              <w:rPr>
                <w:rFonts w:eastAsia="Calibri"/>
                <w:b/>
                <w:bCs/>
                <w:sz w:val="18"/>
                <w:szCs w:val="22"/>
                <w:rtl/>
                <w:lang w:eastAsia="en-US" w:bidi="en-GB"/>
              </w:rPr>
              <w:t>کل</w:t>
            </w:r>
            <w:proofErr w:type="spellEnd"/>
          </w:p>
        </w:tc>
        <w:tc>
          <w:tcPr>
            <w:tcW w:w="0" w:type="auto"/>
            <w:shd w:val="clear" w:color="auto" w:fill="FFFFFF"/>
            <w:vAlign w:val="center"/>
          </w:tcPr>
          <w:p w14:paraId="3666E121"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30,154</w:t>
            </w:r>
          </w:p>
        </w:tc>
        <w:tc>
          <w:tcPr>
            <w:tcW w:w="0" w:type="auto"/>
            <w:shd w:val="clear" w:color="auto" w:fill="FFFFFF"/>
            <w:vAlign w:val="center"/>
          </w:tcPr>
          <w:p w14:paraId="23D7920C"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383(100)</w:t>
            </w:r>
          </w:p>
        </w:tc>
        <w:tc>
          <w:tcPr>
            <w:tcW w:w="0" w:type="auto"/>
            <w:shd w:val="clear" w:color="auto" w:fill="FFFFFF"/>
            <w:vAlign w:val="center"/>
          </w:tcPr>
          <w:p w14:paraId="200A8EC8" w14:textId="77777777" w:rsidR="00A764C1" w:rsidRPr="00A764C1" w:rsidRDefault="00A764C1" w:rsidP="00764D89">
            <w:pPr>
              <w:jc w:val="center"/>
              <w:rPr>
                <w:rFonts w:eastAsia="Calibri"/>
                <w:sz w:val="18"/>
                <w:szCs w:val="22"/>
                <w:lang w:eastAsia="en-US" w:bidi="en-GB"/>
              </w:rPr>
            </w:pPr>
          </w:p>
        </w:tc>
        <w:tc>
          <w:tcPr>
            <w:tcW w:w="0" w:type="auto"/>
            <w:shd w:val="clear" w:color="auto" w:fill="FFFFFF"/>
            <w:vAlign w:val="center"/>
          </w:tcPr>
          <w:p w14:paraId="50145FE1"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38,057</w:t>
            </w:r>
          </w:p>
        </w:tc>
        <w:tc>
          <w:tcPr>
            <w:tcW w:w="0" w:type="auto"/>
            <w:shd w:val="clear" w:color="auto" w:fill="FFFFFF"/>
            <w:vAlign w:val="center"/>
          </w:tcPr>
          <w:p w14:paraId="38AF10AF"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227(100)</w:t>
            </w:r>
          </w:p>
        </w:tc>
        <w:tc>
          <w:tcPr>
            <w:tcW w:w="0" w:type="auto"/>
            <w:shd w:val="clear" w:color="auto" w:fill="FFFFFF"/>
            <w:vAlign w:val="center"/>
          </w:tcPr>
          <w:p w14:paraId="2F1FCA2A" w14:textId="77777777" w:rsidR="00A764C1" w:rsidRPr="00A764C1" w:rsidRDefault="00A764C1" w:rsidP="00764D89">
            <w:pPr>
              <w:jc w:val="center"/>
              <w:rPr>
                <w:rFonts w:eastAsia="Calibri"/>
                <w:sz w:val="18"/>
                <w:szCs w:val="22"/>
                <w:lang w:eastAsia="en-US" w:bidi="en-GB"/>
              </w:rPr>
            </w:pPr>
          </w:p>
        </w:tc>
      </w:tr>
      <w:tr w:rsidR="0054166F" w:rsidRPr="00B82602" w14:paraId="22D36634" w14:textId="77777777" w:rsidTr="00B82602">
        <w:trPr>
          <w:trHeight w:hRule="exact" w:val="413"/>
          <w:jc w:val="center"/>
        </w:trPr>
        <w:tc>
          <w:tcPr>
            <w:tcW w:w="2156" w:type="dxa"/>
            <w:shd w:val="clear" w:color="auto" w:fill="F2F2F2"/>
            <w:vAlign w:val="center"/>
          </w:tcPr>
          <w:p w14:paraId="7427F7F2" w14:textId="122504F6" w:rsidR="00A764C1" w:rsidRPr="00A764C1" w:rsidRDefault="003A15CC" w:rsidP="00764D89">
            <w:pPr>
              <w:jc w:val="left"/>
              <w:rPr>
                <w:rFonts w:eastAsia="Calibri"/>
                <w:b/>
                <w:bCs/>
                <w:sz w:val="18"/>
                <w:szCs w:val="22"/>
                <w:lang w:eastAsia="en-US" w:bidi="en-GB"/>
              </w:rPr>
            </w:pPr>
            <w:proofErr w:type="spellStart"/>
            <w:r w:rsidRPr="00B82602">
              <w:rPr>
                <w:rFonts w:eastAsia="Calibri"/>
                <w:b/>
                <w:bCs/>
                <w:sz w:val="18"/>
                <w:szCs w:val="22"/>
                <w:rtl/>
                <w:lang w:eastAsia="en-US" w:bidi="en-GB"/>
              </w:rPr>
              <w:t>فشار</w:t>
            </w:r>
            <w:proofErr w:type="spellEnd"/>
            <w:r w:rsidRPr="00B82602">
              <w:rPr>
                <w:rFonts w:eastAsia="Calibri"/>
                <w:b/>
                <w:bCs/>
                <w:sz w:val="18"/>
                <w:szCs w:val="22"/>
                <w:rtl/>
                <w:lang w:eastAsia="en-US" w:bidi="en-GB"/>
              </w:rPr>
              <w:t xml:space="preserve"> </w:t>
            </w:r>
            <w:proofErr w:type="spellStart"/>
            <w:r w:rsidRPr="00B82602">
              <w:rPr>
                <w:rFonts w:eastAsia="Calibri"/>
                <w:b/>
                <w:bCs/>
                <w:sz w:val="18"/>
                <w:szCs w:val="22"/>
                <w:rtl/>
                <w:lang w:eastAsia="en-US" w:bidi="en-GB"/>
              </w:rPr>
              <w:t>خون</w:t>
            </w:r>
            <w:proofErr w:type="spellEnd"/>
          </w:p>
        </w:tc>
        <w:tc>
          <w:tcPr>
            <w:tcW w:w="0" w:type="auto"/>
            <w:shd w:val="clear" w:color="auto" w:fill="F2F2F2"/>
            <w:vAlign w:val="center"/>
          </w:tcPr>
          <w:p w14:paraId="3C5FE857"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46611AF6"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1654228A"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34BDD370"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71653837"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532A8F97" w14:textId="77777777" w:rsidR="00A764C1" w:rsidRPr="00A764C1" w:rsidRDefault="00A764C1" w:rsidP="00764D89">
            <w:pPr>
              <w:jc w:val="center"/>
              <w:rPr>
                <w:rFonts w:eastAsia="Calibri"/>
                <w:sz w:val="18"/>
                <w:szCs w:val="22"/>
                <w:lang w:eastAsia="en-US" w:bidi="en-GB"/>
              </w:rPr>
            </w:pPr>
          </w:p>
        </w:tc>
      </w:tr>
      <w:tr w:rsidR="0054166F" w:rsidRPr="00B82602" w14:paraId="66292D96" w14:textId="77777777" w:rsidTr="00B82602">
        <w:trPr>
          <w:trHeight w:hRule="exact" w:val="379"/>
          <w:jc w:val="center"/>
        </w:trPr>
        <w:tc>
          <w:tcPr>
            <w:tcW w:w="2156" w:type="dxa"/>
            <w:shd w:val="clear" w:color="auto" w:fill="FFFFFF"/>
            <w:vAlign w:val="center"/>
          </w:tcPr>
          <w:p w14:paraId="2304A445" w14:textId="54B6585A" w:rsidR="00A764C1" w:rsidRPr="00A764C1" w:rsidRDefault="003A15CC" w:rsidP="00764D89">
            <w:pPr>
              <w:jc w:val="center"/>
              <w:rPr>
                <w:rFonts w:eastAsia="Calibri" w:hint="cs"/>
                <w:b/>
                <w:bCs/>
                <w:sz w:val="18"/>
                <w:szCs w:val="22"/>
                <w:rtl/>
                <w:lang w:eastAsia="en-US" w:bidi="en-GB"/>
              </w:rPr>
            </w:pPr>
            <w:r w:rsidRPr="00B82602">
              <w:rPr>
                <w:rFonts w:eastAsia="Calibri" w:hint="cs"/>
                <w:b/>
                <w:bCs/>
                <w:sz w:val="18"/>
                <w:szCs w:val="22"/>
                <w:rtl/>
                <w:lang w:eastAsia="en-US" w:bidi="fa-IR"/>
              </w:rPr>
              <w:t>نرمال</w:t>
            </w:r>
            <w:r w:rsidR="00E343A3">
              <w:rPr>
                <w:rFonts w:eastAsia="Calibri"/>
                <w:b/>
                <w:bCs/>
                <w:sz w:val="18"/>
                <w:szCs w:val="22"/>
                <w:lang w:eastAsia="en-US" w:bidi="fa-IR"/>
              </w:rPr>
              <w:t>^</w:t>
            </w:r>
          </w:p>
        </w:tc>
        <w:tc>
          <w:tcPr>
            <w:tcW w:w="0" w:type="auto"/>
            <w:shd w:val="clear" w:color="auto" w:fill="FFFFFF"/>
            <w:vAlign w:val="center"/>
          </w:tcPr>
          <w:p w14:paraId="041EBA92"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13,524</w:t>
            </w:r>
          </w:p>
        </w:tc>
        <w:tc>
          <w:tcPr>
            <w:tcW w:w="0" w:type="auto"/>
            <w:shd w:val="clear" w:color="auto" w:fill="FFFFFF"/>
            <w:vAlign w:val="center"/>
          </w:tcPr>
          <w:p w14:paraId="29E81BCD"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110 (29)</w:t>
            </w:r>
          </w:p>
        </w:tc>
        <w:tc>
          <w:tcPr>
            <w:tcW w:w="0" w:type="auto"/>
            <w:shd w:val="clear" w:color="auto" w:fill="FFFFFF"/>
            <w:vAlign w:val="center"/>
          </w:tcPr>
          <w:p w14:paraId="487F5A1E"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7.8</w:t>
            </w:r>
          </w:p>
        </w:tc>
        <w:tc>
          <w:tcPr>
            <w:tcW w:w="0" w:type="auto"/>
            <w:shd w:val="clear" w:color="auto" w:fill="FFFFFF"/>
            <w:vAlign w:val="center"/>
          </w:tcPr>
          <w:p w14:paraId="58B11826"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20,747</w:t>
            </w:r>
          </w:p>
        </w:tc>
        <w:tc>
          <w:tcPr>
            <w:tcW w:w="0" w:type="auto"/>
            <w:shd w:val="clear" w:color="auto" w:fill="FFFFFF"/>
            <w:vAlign w:val="center"/>
          </w:tcPr>
          <w:p w14:paraId="1CF84F2F"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66 (29)</w:t>
            </w:r>
          </w:p>
        </w:tc>
        <w:tc>
          <w:tcPr>
            <w:tcW w:w="0" w:type="auto"/>
            <w:shd w:val="clear" w:color="auto" w:fill="FFFFFF"/>
            <w:vAlign w:val="center"/>
          </w:tcPr>
          <w:p w14:paraId="7D028EB2"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2.9</w:t>
            </w:r>
          </w:p>
        </w:tc>
      </w:tr>
      <w:tr w:rsidR="0054166F" w:rsidRPr="00B82602" w14:paraId="6397E061" w14:textId="77777777" w:rsidTr="00B82602">
        <w:trPr>
          <w:trHeight w:hRule="exact" w:val="379"/>
          <w:jc w:val="center"/>
        </w:trPr>
        <w:tc>
          <w:tcPr>
            <w:tcW w:w="2156" w:type="dxa"/>
            <w:shd w:val="clear" w:color="auto" w:fill="FFFFFF"/>
            <w:vAlign w:val="center"/>
          </w:tcPr>
          <w:p w14:paraId="54C6B51F" w14:textId="0D23F3EC" w:rsidR="00A764C1" w:rsidRPr="00A764C1" w:rsidRDefault="003A15CC" w:rsidP="00764D89">
            <w:pPr>
              <w:jc w:val="center"/>
              <w:rPr>
                <w:rFonts w:eastAsia="Calibri"/>
                <w:b/>
                <w:bCs/>
                <w:sz w:val="18"/>
                <w:szCs w:val="22"/>
                <w:lang w:eastAsia="en-US" w:bidi="en-GB"/>
              </w:rPr>
            </w:pPr>
            <w:proofErr w:type="spellStart"/>
            <w:r w:rsidRPr="00B82602">
              <w:rPr>
                <w:rFonts w:eastAsia="Calibri"/>
                <w:b/>
                <w:bCs/>
                <w:sz w:val="18"/>
                <w:szCs w:val="22"/>
                <w:rtl/>
                <w:lang w:eastAsia="en-US" w:bidi="en-GB"/>
              </w:rPr>
              <w:t>نرمال</w:t>
            </w:r>
            <w:proofErr w:type="spellEnd"/>
            <w:r w:rsidRPr="00B82602">
              <w:rPr>
                <w:rFonts w:eastAsia="Calibri"/>
                <w:b/>
                <w:bCs/>
                <w:sz w:val="18"/>
                <w:szCs w:val="22"/>
                <w:rtl/>
                <w:lang w:eastAsia="en-US" w:bidi="en-GB"/>
              </w:rPr>
              <w:t xml:space="preserve"> </w:t>
            </w:r>
            <w:proofErr w:type="spellStart"/>
            <w:r w:rsidRPr="00B82602">
              <w:rPr>
                <w:rFonts w:eastAsia="Calibri"/>
                <w:b/>
                <w:bCs/>
                <w:sz w:val="18"/>
                <w:szCs w:val="22"/>
                <w:rtl/>
                <w:lang w:eastAsia="en-US" w:bidi="en-GB"/>
              </w:rPr>
              <w:t>رو</w:t>
            </w:r>
            <w:proofErr w:type="spellEnd"/>
            <w:r w:rsidRPr="00B82602">
              <w:rPr>
                <w:rFonts w:eastAsia="Calibri"/>
                <w:b/>
                <w:bCs/>
                <w:sz w:val="18"/>
                <w:szCs w:val="22"/>
                <w:rtl/>
                <w:lang w:eastAsia="en-US" w:bidi="en-GB"/>
              </w:rPr>
              <w:t xml:space="preserve"> </w:t>
            </w:r>
            <w:proofErr w:type="spellStart"/>
            <w:r w:rsidRPr="00B82602">
              <w:rPr>
                <w:rFonts w:eastAsia="Calibri"/>
                <w:b/>
                <w:bCs/>
                <w:sz w:val="18"/>
                <w:szCs w:val="22"/>
                <w:rtl/>
                <w:lang w:eastAsia="en-US" w:bidi="en-GB"/>
              </w:rPr>
              <w:t>به</w:t>
            </w:r>
            <w:proofErr w:type="spellEnd"/>
            <w:r w:rsidRPr="00B82602">
              <w:rPr>
                <w:rFonts w:eastAsia="Calibri"/>
                <w:b/>
                <w:bCs/>
                <w:sz w:val="18"/>
                <w:szCs w:val="22"/>
                <w:rtl/>
                <w:lang w:eastAsia="en-US" w:bidi="en-GB"/>
              </w:rPr>
              <w:t xml:space="preserve"> </w:t>
            </w:r>
            <w:proofErr w:type="spellStart"/>
            <w:r w:rsidRPr="00B82602">
              <w:rPr>
                <w:rFonts w:eastAsia="Calibri"/>
                <w:b/>
                <w:bCs/>
                <w:sz w:val="18"/>
                <w:szCs w:val="22"/>
                <w:rtl/>
                <w:lang w:eastAsia="en-US" w:bidi="en-GB"/>
              </w:rPr>
              <w:t>زیاد</w:t>
            </w:r>
            <w:proofErr w:type="spellEnd"/>
          </w:p>
        </w:tc>
        <w:tc>
          <w:tcPr>
            <w:tcW w:w="0" w:type="auto"/>
            <w:shd w:val="clear" w:color="auto" w:fill="FFFFFF"/>
            <w:vAlign w:val="center"/>
          </w:tcPr>
          <w:p w14:paraId="661F5A19"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6,307</w:t>
            </w:r>
          </w:p>
        </w:tc>
        <w:tc>
          <w:tcPr>
            <w:tcW w:w="0" w:type="auto"/>
            <w:shd w:val="clear" w:color="auto" w:fill="FFFFFF"/>
            <w:vAlign w:val="center"/>
          </w:tcPr>
          <w:p w14:paraId="5BD06A3D"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77 (20)</w:t>
            </w:r>
          </w:p>
        </w:tc>
        <w:tc>
          <w:tcPr>
            <w:tcW w:w="0" w:type="auto"/>
            <w:shd w:val="clear" w:color="auto" w:fill="FFFFFF"/>
            <w:vAlign w:val="center"/>
          </w:tcPr>
          <w:p w14:paraId="65889B59"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12.4</w:t>
            </w:r>
          </w:p>
        </w:tc>
        <w:tc>
          <w:tcPr>
            <w:tcW w:w="0" w:type="auto"/>
            <w:shd w:val="clear" w:color="auto" w:fill="FFFFFF"/>
            <w:vAlign w:val="center"/>
          </w:tcPr>
          <w:p w14:paraId="44BC8278"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6,056</w:t>
            </w:r>
          </w:p>
        </w:tc>
        <w:tc>
          <w:tcPr>
            <w:tcW w:w="0" w:type="auto"/>
            <w:shd w:val="clear" w:color="auto" w:fill="FFFFFF"/>
            <w:vAlign w:val="center"/>
          </w:tcPr>
          <w:p w14:paraId="0EE606F8"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36 (16)</w:t>
            </w:r>
          </w:p>
        </w:tc>
        <w:tc>
          <w:tcPr>
            <w:tcW w:w="0" w:type="auto"/>
            <w:shd w:val="clear" w:color="auto" w:fill="FFFFFF"/>
            <w:vAlign w:val="center"/>
          </w:tcPr>
          <w:p w14:paraId="29A6159D"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7.1</w:t>
            </w:r>
          </w:p>
        </w:tc>
      </w:tr>
      <w:tr w:rsidR="0054166F" w:rsidRPr="00B82602" w14:paraId="158769EA" w14:textId="77777777" w:rsidTr="00B82602">
        <w:trPr>
          <w:trHeight w:hRule="exact" w:val="403"/>
          <w:jc w:val="center"/>
        </w:trPr>
        <w:tc>
          <w:tcPr>
            <w:tcW w:w="2156" w:type="dxa"/>
            <w:shd w:val="clear" w:color="auto" w:fill="FFFFFF"/>
            <w:vAlign w:val="center"/>
          </w:tcPr>
          <w:p w14:paraId="5487D9DB" w14:textId="4484E3CE" w:rsidR="00A764C1" w:rsidRPr="00A764C1" w:rsidRDefault="003A15CC" w:rsidP="00764D89">
            <w:pPr>
              <w:jc w:val="center"/>
              <w:rPr>
                <w:rFonts w:eastAsia="Calibri" w:hint="cs"/>
                <w:b/>
                <w:bCs/>
                <w:sz w:val="18"/>
                <w:szCs w:val="22"/>
                <w:rtl/>
                <w:lang w:eastAsia="en-US" w:bidi="fa-IR"/>
              </w:rPr>
            </w:pPr>
            <w:proofErr w:type="spellStart"/>
            <w:r w:rsidRPr="00B82602">
              <w:rPr>
                <w:rFonts w:eastAsia="Calibri"/>
                <w:b/>
                <w:bCs/>
                <w:sz w:val="18"/>
                <w:szCs w:val="22"/>
                <w:rtl/>
                <w:lang w:eastAsia="en-US" w:bidi="en-GB"/>
              </w:rPr>
              <w:t>هایپرتنشن</w:t>
            </w:r>
            <w:proofErr w:type="spellEnd"/>
            <w:r w:rsidRPr="00B82602">
              <w:rPr>
                <w:rFonts w:eastAsia="Calibri"/>
                <w:b/>
                <w:bCs/>
                <w:sz w:val="18"/>
                <w:szCs w:val="22"/>
                <w:rtl/>
                <w:lang w:eastAsia="en-US" w:bidi="en-GB"/>
              </w:rPr>
              <w:t xml:space="preserve"> </w:t>
            </w:r>
            <w:r w:rsidRPr="00B82602">
              <w:rPr>
                <w:rFonts w:eastAsia="Calibri"/>
                <w:b/>
                <w:bCs/>
                <w:sz w:val="18"/>
                <w:szCs w:val="22"/>
                <w:lang w:eastAsia="en-US" w:bidi="en-GB"/>
              </w:rPr>
              <w:t>I</w:t>
            </w:r>
          </w:p>
        </w:tc>
        <w:tc>
          <w:tcPr>
            <w:tcW w:w="0" w:type="auto"/>
            <w:shd w:val="clear" w:color="auto" w:fill="FFFFFF"/>
            <w:vAlign w:val="center"/>
          </w:tcPr>
          <w:p w14:paraId="7ABD809F"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6,695</w:t>
            </w:r>
          </w:p>
        </w:tc>
        <w:tc>
          <w:tcPr>
            <w:tcW w:w="0" w:type="auto"/>
            <w:shd w:val="clear" w:color="auto" w:fill="FFFFFF"/>
            <w:vAlign w:val="center"/>
          </w:tcPr>
          <w:p w14:paraId="52FC3A56"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115 (30)</w:t>
            </w:r>
          </w:p>
        </w:tc>
        <w:tc>
          <w:tcPr>
            <w:tcW w:w="0" w:type="auto"/>
            <w:shd w:val="clear" w:color="auto" w:fill="FFFFFF"/>
            <w:vAlign w:val="center"/>
          </w:tcPr>
          <w:p w14:paraId="3156E8B5"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16.0</w:t>
            </w:r>
          </w:p>
        </w:tc>
        <w:tc>
          <w:tcPr>
            <w:tcW w:w="0" w:type="auto"/>
            <w:shd w:val="clear" w:color="auto" w:fill="FFFFFF"/>
            <w:vAlign w:val="center"/>
          </w:tcPr>
          <w:p w14:paraId="6E2A3E12"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7,254</w:t>
            </w:r>
          </w:p>
        </w:tc>
        <w:tc>
          <w:tcPr>
            <w:tcW w:w="0" w:type="auto"/>
            <w:shd w:val="clear" w:color="auto" w:fill="FFFFFF"/>
            <w:vAlign w:val="center"/>
          </w:tcPr>
          <w:p w14:paraId="659C1BF8"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72 (32)</w:t>
            </w:r>
          </w:p>
        </w:tc>
        <w:tc>
          <w:tcPr>
            <w:tcW w:w="0" w:type="auto"/>
            <w:shd w:val="clear" w:color="auto" w:fill="FFFFFF"/>
            <w:vAlign w:val="center"/>
          </w:tcPr>
          <w:p w14:paraId="30E9D46F"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13.9</w:t>
            </w:r>
          </w:p>
        </w:tc>
      </w:tr>
      <w:tr w:rsidR="0054166F" w:rsidRPr="00B82602" w14:paraId="2D3934E2" w14:textId="77777777" w:rsidTr="00B82602">
        <w:trPr>
          <w:trHeight w:hRule="exact" w:val="429"/>
          <w:jc w:val="center"/>
        </w:trPr>
        <w:tc>
          <w:tcPr>
            <w:tcW w:w="2156" w:type="dxa"/>
            <w:shd w:val="clear" w:color="auto" w:fill="FFFFFF"/>
            <w:vAlign w:val="center"/>
          </w:tcPr>
          <w:p w14:paraId="06F6E358" w14:textId="2CD98E3F" w:rsidR="00A764C1" w:rsidRPr="00A764C1" w:rsidRDefault="003A15CC" w:rsidP="00764D89">
            <w:pPr>
              <w:jc w:val="center"/>
              <w:rPr>
                <w:rFonts w:eastAsia="Calibri" w:hint="cs"/>
                <w:b/>
                <w:bCs/>
                <w:sz w:val="18"/>
                <w:szCs w:val="22"/>
                <w:rtl/>
                <w:lang w:eastAsia="en-US" w:bidi="fa-IR"/>
              </w:rPr>
            </w:pPr>
            <w:proofErr w:type="spellStart"/>
            <w:r w:rsidRPr="00B82602">
              <w:rPr>
                <w:rFonts w:eastAsia="Calibri"/>
                <w:b/>
                <w:bCs/>
                <w:sz w:val="18"/>
                <w:szCs w:val="22"/>
                <w:rtl/>
                <w:lang w:eastAsia="en-US" w:bidi="en-GB"/>
              </w:rPr>
              <w:t>هایپرتنشن</w:t>
            </w:r>
            <w:proofErr w:type="spellEnd"/>
            <w:r w:rsidRPr="00B82602">
              <w:rPr>
                <w:rFonts w:eastAsia="Calibri"/>
                <w:b/>
                <w:bCs/>
                <w:sz w:val="18"/>
                <w:szCs w:val="22"/>
                <w:rtl/>
                <w:lang w:eastAsia="en-US" w:bidi="en-GB"/>
              </w:rPr>
              <w:t xml:space="preserve"> </w:t>
            </w:r>
            <w:r w:rsidRPr="00B82602">
              <w:rPr>
                <w:rFonts w:eastAsia="Calibri"/>
                <w:b/>
                <w:bCs/>
                <w:sz w:val="18"/>
                <w:szCs w:val="22"/>
                <w:lang w:eastAsia="en-US" w:bidi="en-GB"/>
              </w:rPr>
              <w:t>II-IV</w:t>
            </w:r>
          </w:p>
        </w:tc>
        <w:tc>
          <w:tcPr>
            <w:tcW w:w="0" w:type="auto"/>
            <w:shd w:val="clear" w:color="auto" w:fill="FFFFFF"/>
            <w:vAlign w:val="center"/>
          </w:tcPr>
          <w:p w14:paraId="487C5653"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3,628</w:t>
            </w:r>
          </w:p>
        </w:tc>
        <w:tc>
          <w:tcPr>
            <w:tcW w:w="0" w:type="auto"/>
            <w:shd w:val="clear" w:color="auto" w:fill="FFFFFF"/>
            <w:vAlign w:val="center"/>
          </w:tcPr>
          <w:p w14:paraId="65088032"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81 (21)</w:t>
            </w:r>
          </w:p>
        </w:tc>
        <w:tc>
          <w:tcPr>
            <w:tcW w:w="0" w:type="auto"/>
            <w:shd w:val="clear" w:color="auto" w:fill="FFFFFF"/>
            <w:vAlign w:val="center"/>
          </w:tcPr>
          <w:p w14:paraId="122AFA66"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20.9</w:t>
            </w:r>
          </w:p>
        </w:tc>
        <w:tc>
          <w:tcPr>
            <w:tcW w:w="0" w:type="auto"/>
            <w:shd w:val="clear" w:color="auto" w:fill="FFFFFF"/>
            <w:vAlign w:val="center"/>
          </w:tcPr>
          <w:p w14:paraId="15D4D4AD"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4,000</w:t>
            </w:r>
          </w:p>
        </w:tc>
        <w:tc>
          <w:tcPr>
            <w:tcW w:w="0" w:type="auto"/>
            <w:shd w:val="clear" w:color="auto" w:fill="FFFFFF"/>
            <w:vAlign w:val="center"/>
          </w:tcPr>
          <w:p w14:paraId="20EFBE7A"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53 (23)</w:t>
            </w:r>
          </w:p>
        </w:tc>
        <w:tc>
          <w:tcPr>
            <w:tcW w:w="0" w:type="auto"/>
            <w:shd w:val="clear" w:color="auto" w:fill="FFFFFF"/>
            <w:vAlign w:val="center"/>
          </w:tcPr>
          <w:p w14:paraId="286B08B1"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14.1</w:t>
            </w:r>
          </w:p>
        </w:tc>
      </w:tr>
      <w:tr w:rsidR="0054166F" w:rsidRPr="00B82602" w14:paraId="35D1A865" w14:textId="77777777" w:rsidTr="00B82602">
        <w:trPr>
          <w:trHeight w:hRule="exact" w:val="408"/>
          <w:jc w:val="center"/>
        </w:trPr>
        <w:tc>
          <w:tcPr>
            <w:tcW w:w="2156" w:type="dxa"/>
            <w:shd w:val="clear" w:color="auto" w:fill="F2F2F2"/>
            <w:vAlign w:val="center"/>
          </w:tcPr>
          <w:p w14:paraId="06AE9FFE" w14:textId="1F4B6E3A" w:rsidR="00A764C1" w:rsidRPr="00A764C1" w:rsidRDefault="003A15CC" w:rsidP="00764D89">
            <w:pPr>
              <w:jc w:val="left"/>
              <w:rPr>
                <w:rFonts w:eastAsia="Calibri" w:hint="cs"/>
                <w:b/>
                <w:bCs/>
                <w:sz w:val="18"/>
                <w:szCs w:val="22"/>
                <w:rtl/>
                <w:lang w:eastAsia="en-US" w:bidi="fa-IR"/>
              </w:rPr>
            </w:pPr>
            <w:r w:rsidRPr="00B82602">
              <w:rPr>
                <w:rFonts w:eastAsia="Calibri"/>
                <w:b/>
                <w:bCs/>
                <w:sz w:val="18"/>
                <w:szCs w:val="22"/>
                <w:lang w:eastAsia="en-US" w:bidi="en-GB"/>
              </w:rPr>
              <w:t>TC</w:t>
            </w:r>
            <w:r w:rsidRPr="00B82602">
              <w:rPr>
                <w:rFonts w:eastAsia="Calibri" w:hint="cs"/>
                <w:b/>
                <w:bCs/>
                <w:sz w:val="18"/>
                <w:szCs w:val="22"/>
                <w:rtl/>
                <w:lang w:eastAsia="en-US" w:bidi="fa-IR"/>
              </w:rPr>
              <w:t>، میلی گرم بر دسی لیتر</w:t>
            </w:r>
          </w:p>
        </w:tc>
        <w:tc>
          <w:tcPr>
            <w:tcW w:w="0" w:type="auto"/>
            <w:shd w:val="clear" w:color="auto" w:fill="F2F2F2"/>
            <w:vAlign w:val="center"/>
          </w:tcPr>
          <w:p w14:paraId="743C773C"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4EB74031"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67267A54"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4A2FE33F"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2A2DD5F5"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3B75EB53" w14:textId="77777777" w:rsidR="00A764C1" w:rsidRPr="00A764C1" w:rsidRDefault="00A764C1" w:rsidP="00764D89">
            <w:pPr>
              <w:jc w:val="center"/>
              <w:rPr>
                <w:rFonts w:eastAsia="Calibri"/>
                <w:sz w:val="18"/>
                <w:szCs w:val="22"/>
                <w:lang w:eastAsia="en-US" w:bidi="en-GB"/>
              </w:rPr>
            </w:pPr>
          </w:p>
        </w:tc>
      </w:tr>
      <w:tr w:rsidR="0054166F" w:rsidRPr="00B82602" w14:paraId="6CE32DC8" w14:textId="77777777" w:rsidTr="00B82602">
        <w:trPr>
          <w:trHeight w:hRule="exact" w:val="379"/>
          <w:jc w:val="center"/>
        </w:trPr>
        <w:tc>
          <w:tcPr>
            <w:tcW w:w="2156" w:type="dxa"/>
            <w:shd w:val="clear" w:color="auto" w:fill="FFFFFF"/>
            <w:vAlign w:val="center"/>
          </w:tcPr>
          <w:p w14:paraId="4735EAFB" w14:textId="77777777" w:rsidR="00A764C1" w:rsidRPr="00A764C1" w:rsidRDefault="00A764C1" w:rsidP="00764D89">
            <w:pPr>
              <w:jc w:val="center"/>
              <w:rPr>
                <w:rFonts w:eastAsia="Calibri"/>
                <w:b/>
                <w:bCs/>
                <w:sz w:val="18"/>
                <w:szCs w:val="22"/>
                <w:lang w:eastAsia="en-US" w:bidi="en-GB"/>
              </w:rPr>
            </w:pPr>
            <w:r w:rsidRPr="00A764C1">
              <w:rPr>
                <w:rFonts w:eastAsia="Calibri"/>
                <w:b/>
                <w:bCs/>
                <w:sz w:val="18"/>
                <w:szCs w:val="22"/>
                <w:lang w:eastAsia="en-US" w:bidi="en-GB"/>
              </w:rPr>
              <w:t>&lt; 200</w:t>
            </w:r>
          </w:p>
        </w:tc>
        <w:tc>
          <w:tcPr>
            <w:tcW w:w="0" w:type="auto"/>
            <w:shd w:val="clear" w:color="auto" w:fill="FFFFFF"/>
            <w:vAlign w:val="center"/>
          </w:tcPr>
          <w:p w14:paraId="7A84732D"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11,591</w:t>
            </w:r>
          </w:p>
        </w:tc>
        <w:tc>
          <w:tcPr>
            <w:tcW w:w="0" w:type="auto"/>
            <w:shd w:val="clear" w:color="auto" w:fill="FFFFFF"/>
            <w:vAlign w:val="center"/>
          </w:tcPr>
          <w:p w14:paraId="464376F0"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103 (27)</w:t>
            </w:r>
          </w:p>
        </w:tc>
        <w:tc>
          <w:tcPr>
            <w:tcW w:w="0" w:type="auto"/>
            <w:shd w:val="clear" w:color="auto" w:fill="FFFFFF"/>
            <w:vAlign w:val="center"/>
          </w:tcPr>
          <w:p w14:paraId="2536BD1D"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8.2</w:t>
            </w:r>
          </w:p>
        </w:tc>
        <w:tc>
          <w:tcPr>
            <w:tcW w:w="0" w:type="auto"/>
            <w:shd w:val="clear" w:color="auto" w:fill="FFFFFF"/>
            <w:vAlign w:val="center"/>
          </w:tcPr>
          <w:p w14:paraId="4001D8E7"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13,289</w:t>
            </w:r>
          </w:p>
        </w:tc>
        <w:tc>
          <w:tcPr>
            <w:tcW w:w="0" w:type="auto"/>
            <w:shd w:val="clear" w:color="auto" w:fill="FFFFFF"/>
            <w:vAlign w:val="center"/>
          </w:tcPr>
          <w:p w14:paraId="21EAE7D1"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39 (17)</w:t>
            </w:r>
          </w:p>
        </w:tc>
        <w:tc>
          <w:tcPr>
            <w:tcW w:w="0" w:type="auto"/>
            <w:shd w:val="clear" w:color="auto" w:fill="FFFFFF"/>
            <w:vAlign w:val="center"/>
          </w:tcPr>
          <w:p w14:paraId="4BCC04DB"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3.1</w:t>
            </w:r>
          </w:p>
        </w:tc>
      </w:tr>
      <w:tr w:rsidR="0054166F" w:rsidRPr="00B82602" w14:paraId="0BAB6D11" w14:textId="77777777" w:rsidTr="00B82602">
        <w:trPr>
          <w:trHeight w:hRule="exact" w:val="389"/>
          <w:jc w:val="center"/>
        </w:trPr>
        <w:tc>
          <w:tcPr>
            <w:tcW w:w="2156" w:type="dxa"/>
            <w:shd w:val="clear" w:color="auto" w:fill="FFFFFF"/>
            <w:vAlign w:val="center"/>
          </w:tcPr>
          <w:p w14:paraId="626044E5" w14:textId="77777777" w:rsidR="00A764C1" w:rsidRPr="00A764C1" w:rsidRDefault="00A764C1" w:rsidP="00764D89">
            <w:pPr>
              <w:jc w:val="center"/>
              <w:rPr>
                <w:rFonts w:eastAsia="Calibri"/>
                <w:b/>
                <w:bCs/>
                <w:sz w:val="18"/>
                <w:szCs w:val="22"/>
                <w:lang w:eastAsia="en-US" w:bidi="en-GB"/>
              </w:rPr>
            </w:pPr>
            <w:r w:rsidRPr="00A764C1">
              <w:rPr>
                <w:rFonts w:eastAsia="Calibri"/>
                <w:b/>
                <w:bCs/>
                <w:sz w:val="18"/>
                <w:szCs w:val="22"/>
                <w:lang w:eastAsia="en-US" w:bidi="en-GB"/>
              </w:rPr>
              <w:t>200-239</w:t>
            </w:r>
          </w:p>
        </w:tc>
        <w:tc>
          <w:tcPr>
            <w:tcW w:w="0" w:type="auto"/>
            <w:shd w:val="clear" w:color="auto" w:fill="FFFFFF"/>
            <w:vAlign w:val="center"/>
          </w:tcPr>
          <w:p w14:paraId="223FED1E"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11,792</w:t>
            </w:r>
          </w:p>
        </w:tc>
        <w:tc>
          <w:tcPr>
            <w:tcW w:w="0" w:type="auto"/>
            <w:shd w:val="clear" w:color="auto" w:fill="FFFFFF"/>
            <w:vAlign w:val="center"/>
          </w:tcPr>
          <w:p w14:paraId="09786F45"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148 (39)</w:t>
            </w:r>
          </w:p>
        </w:tc>
        <w:tc>
          <w:tcPr>
            <w:tcW w:w="0" w:type="auto"/>
            <w:shd w:val="clear" w:color="auto" w:fill="FFFFFF"/>
            <w:vAlign w:val="center"/>
          </w:tcPr>
          <w:p w14:paraId="6C515599"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12.0</w:t>
            </w:r>
          </w:p>
        </w:tc>
        <w:tc>
          <w:tcPr>
            <w:tcW w:w="0" w:type="auto"/>
            <w:shd w:val="clear" w:color="auto" w:fill="FFFFFF"/>
            <w:vAlign w:val="center"/>
          </w:tcPr>
          <w:p w14:paraId="074DBCE1"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12,683</w:t>
            </w:r>
          </w:p>
        </w:tc>
        <w:tc>
          <w:tcPr>
            <w:tcW w:w="0" w:type="auto"/>
            <w:shd w:val="clear" w:color="auto" w:fill="FFFFFF"/>
            <w:vAlign w:val="center"/>
          </w:tcPr>
          <w:p w14:paraId="4C53C59A"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80 (35)</w:t>
            </w:r>
          </w:p>
        </w:tc>
        <w:tc>
          <w:tcPr>
            <w:tcW w:w="0" w:type="auto"/>
            <w:shd w:val="clear" w:color="auto" w:fill="FFFFFF"/>
            <w:vAlign w:val="center"/>
          </w:tcPr>
          <w:p w14:paraId="44D071D2"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6.6</w:t>
            </w:r>
          </w:p>
        </w:tc>
      </w:tr>
      <w:tr w:rsidR="0054166F" w:rsidRPr="00B82602" w14:paraId="220D6694" w14:textId="77777777" w:rsidTr="00B82602">
        <w:trPr>
          <w:trHeight w:hRule="exact" w:val="389"/>
          <w:jc w:val="center"/>
        </w:trPr>
        <w:tc>
          <w:tcPr>
            <w:tcW w:w="2156" w:type="dxa"/>
            <w:shd w:val="clear" w:color="auto" w:fill="FFFFFF"/>
            <w:vAlign w:val="center"/>
          </w:tcPr>
          <w:p w14:paraId="4A83EE9B" w14:textId="77777777" w:rsidR="00A764C1" w:rsidRPr="00A764C1" w:rsidRDefault="00A764C1" w:rsidP="00764D89">
            <w:pPr>
              <w:jc w:val="center"/>
              <w:rPr>
                <w:rFonts w:eastAsia="Calibri"/>
                <w:b/>
                <w:bCs/>
                <w:sz w:val="18"/>
                <w:szCs w:val="22"/>
                <w:lang w:eastAsia="en-US" w:bidi="en-GB"/>
              </w:rPr>
            </w:pPr>
            <w:r w:rsidRPr="00A764C1">
              <w:rPr>
                <w:rFonts w:eastAsia="Calibri"/>
                <w:b/>
                <w:bCs/>
                <w:sz w:val="18"/>
                <w:szCs w:val="22"/>
                <w:lang w:val="en-GB" w:eastAsia="en-US"/>
              </w:rPr>
              <w:t xml:space="preserve">≥ </w:t>
            </w:r>
            <w:r w:rsidRPr="00A764C1">
              <w:rPr>
                <w:rFonts w:eastAsia="Calibri"/>
                <w:b/>
                <w:bCs/>
                <w:sz w:val="18"/>
                <w:szCs w:val="22"/>
                <w:lang w:eastAsia="en-US" w:bidi="en-GB"/>
              </w:rPr>
              <w:t>240</w:t>
            </w:r>
          </w:p>
        </w:tc>
        <w:tc>
          <w:tcPr>
            <w:tcW w:w="0" w:type="auto"/>
            <w:shd w:val="clear" w:color="auto" w:fill="FFFFFF"/>
            <w:vAlign w:val="center"/>
          </w:tcPr>
          <w:p w14:paraId="42658A73"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6,771</w:t>
            </w:r>
          </w:p>
        </w:tc>
        <w:tc>
          <w:tcPr>
            <w:tcW w:w="0" w:type="auto"/>
            <w:shd w:val="clear" w:color="auto" w:fill="FFFFFF"/>
            <w:vAlign w:val="center"/>
          </w:tcPr>
          <w:p w14:paraId="4C7D24F5"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132 (34)</w:t>
            </w:r>
          </w:p>
        </w:tc>
        <w:tc>
          <w:tcPr>
            <w:tcW w:w="0" w:type="auto"/>
            <w:shd w:val="clear" w:color="auto" w:fill="FFFFFF"/>
            <w:vAlign w:val="center"/>
          </w:tcPr>
          <w:p w14:paraId="77FFBA45"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18.6</w:t>
            </w:r>
          </w:p>
        </w:tc>
        <w:tc>
          <w:tcPr>
            <w:tcW w:w="0" w:type="auto"/>
            <w:shd w:val="clear" w:color="auto" w:fill="FFFFFF"/>
            <w:vAlign w:val="center"/>
          </w:tcPr>
          <w:p w14:paraId="2899DF28"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12,085</w:t>
            </w:r>
          </w:p>
        </w:tc>
        <w:tc>
          <w:tcPr>
            <w:tcW w:w="0" w:type="auto"/>
            <w:shd w:val="clear" w:color="auto" w:fill="FFFFFF"/>
            <w:vAlign w:val="center"/>
          </w:tcPr>
          <w:p w14:paraId="3212BF33"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108 (48)</w:t>
            </w:r>
          </w:p>
        </w:tc>
        <w:tc>
          <w:tcPr>
            <w:tcW w:w="0" w:type="auto"/>
            <w:shd w:val="clear" w:color="auto" w:fill="FFFFFF"/>
            <w:vAlign w:val="center"/>
          </w:tcPr>
          <w:p w14:paraId="143DCDD0"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10.3</w:t>
            </w:r>
          </w:p>
        </w:tc>
      </w:tr>
      <w:tr w:rsidR="0054166F" w:rsidRPr="00B82602" w14:paraId="31969ACE" w14:textId="77777777" w:rsidTr="00B82602">
        <w:trPr>
          <w:trHeight w:hRule="exact" w:val="403"/>
          <w:jc w:val="center"/>
        </w:trPr>
        <w:tc>
          <w:tcPr>
            <w:tcW w:w="2156" w:type="dxa"/>
            <w:shd w:val="clear" w:color="auto" w:fill="F2F2F2"/>
            <w:vAlign w:val="center"/>
          </w:tcPr>
          <w:p w14:paraId="7724F036" w14:textId="0C52CB8D" w:rsidR="00A764C1" w:rsidRPr="00A764C1" w:rsidRDefault="003A15CC" w:rsidP="00764D89">
            <w:pPr>
              <w:jc w:val="left"/>
              <w:rPr>
                <w:rFonts w:eastAsia="Calibri" w:hint="cs"/>
                <w:b/>
                <w:bCs/>
                <w:sz w:val="18"/>
                <w:szCs w:val="22"/>
                <w:rtl/>
                <w:lang w:eastAsia="en-US" w:bidi="fa-IR"/>
              </w:rPr>
            </w:pPr>
            <w:r w:rsidRPr="00B82602">
              <w:rPr>
                <w:rFonts w:eastAsia="Calibri"/>
                <w:b/>
                <w:bCs/>
                <w:sz w:val="18"/>
                <w:szCs w:val="22"/>
                <w:lang w:eastAsia="en-US" w:bidi="en-GB"/>
              </w:rPr>
              <w:lastRenderedPageBreak/>
              <w:t>HDL-C</w:t>
            </w:r>
            <w:r w:rsidRPr="00B82602">
              <w:rPr>
                <w:rFonts w:eastAsia="Calibri" w:hint="cs"/>
                <w:b/>
                <w:bCs/>
                <w:sz w:val="18"/>
                <w:szCs w:val="22"/>
                <w:rtl/>
                <w:lang w:eastAsia="en-US" w:bidi="fa-IR"/>
              </w:rPr>
              <w:t xml:space="preserve"> میلی گرم بر دسی لیتر</w:t>
            </w:r>
          </w:p>
        </w:tc>
        <w:tc>
          <w:tcPr>
            <w:tcW w:w="0" w:type="auto"/>
            <w:shd w:val="clear" w:color="auto" w:fill="F2F2F2"/>
            <w:vAlign w:val="center"/>
          </w:tcPr>
          <w:p w14:paraId="5F204D83"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754A8B34"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47CB4A51"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5CEEEC27"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54E66F21"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27423276" w14:textId="77777777" w:rsidR="00A764C1" w:rsidRPr="00A764C1" w:rsidRDefault="00A764C1" w:rsidP="00764D89">
            <w:pPr>
              <w:jc w:val="center"/>
              <w:rPr>
                <w:rFonts w:eastAsia="Calibri"/>
                <w:sz w:val="18"/>
                <w:szCs w:val="22"/>
                <w:lang w:eastAsia="en-US" w:bidi="en-GB"/>
              </w:rPr>
            </w:pPr>
          </w:p>
        </w:tc>
      </w:tr>
      <w:tr w:rsidR="0054166F" w:rsidRPr="00B82602" w14:paraId="0C31FAF0" w14:textId="77777777" w:rsidTr="00B82602">
        <w:trPr>
          <w:trHeight w:hRule="exact" w:val="379"/>
          <w:jc w:val="center"/>
        </w:trPr>
        <w:tc>
          <w:tcPr>
            <w:tcW w:w="2156" w:type="dxa"/>
            <w:shd w:val="clear" w:color="auto" w:fill="FFFFFF"/>
            <w:vAlign w:val="center"/>
          </w:tcPr>
          <w:p w14:paraId="79BDA4AD" w14:textId="77777777" w:rsidR="00A764C1" w:rsidRPr="00A764C1" w:rsidRDefault="00A764C1" w:rsidP="00764D89">
            <w:pPr>
              <w:jc w:val="center"/>
              <w:rPr>
                <w:rFonts w:eastAsia="Calibri"/>
                <w:b/>
                <w:bCs/>
                <w:sz w:val="18"/>
                <w:szCs w:val="22"/>
                <w:lang w:eastAsia="en-US" w:bidi="en-GB"/>
              </w:rPr>
            </w:pPr>
            <w:r w:rsidRPr="00A764C1">
              <w:rPr>
                <w:rFonts w:eastAsia="Calibri"/>
                <w:b/>
                <w:bCs/>
                <w:sz w:val="18"/>
                <w:szCs w:val="22"/>
                <w:lang w:eastAsia="en-US" w:bidi="en-GB"/>
              </w:rPr>
              <w:t>&lt; 35</w:t>
            </w:r>
          </w:p>
        </w:tc>
        <w:tc>
          <w:tcPr>
            <w:tcW w:w="0" w:type="auto"/>
            <w:shd w:val="clear" w:color="auto" w:fill="FFFFFF"/>
            <w:vAlign w:val="center"/>
          </w:tcPr>
          <w:p w14:paraId="7B638ADD"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5,601</w:t>
            </w:r>
          </w:p>
        </w:tc>
        <w:tc>
          <w:tcPr>
            <w:tcW w:w="0" w:type="auto"/>
            <w:shd w:val="clear" w:color="auto" w:fill="FFFFFF"/>
            <w:vAlign w:val="center"/>
          </w:tcPr>
          <w:p w14:paraId="34D3309B"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97 (25)</w:t>
            </w:r>
          </w:p>
        </w:tc>
        <w:tc>
          <w:tcPr>
            <w:tcW w:w="0" w:type="auto"/>
            <w:shd w:val="clear" w:color="auto" w:fill="FFFFFF"/>
            <w:vAlign w:val="center"/>
          </w:tcPr>
          <w:p w14:paraId="24FC6893"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15.8</w:t>
            </w:r>
          </w:p>
        </w:tc>
        <w:tc>
          <w:tcPr>
            <w:tcW w:w="0" w:type="auto"/>
            <w:shd w:val="clear" w:color="auto" w:fill="FFFFFF"/>
            <w:vAlign w:val="center"/>
          </w:tcPr>
          <w:p w14:paraId="0244A713"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1,506</w:t>
            </w:r>
          </w:p>
        </w:tc>
        <w:tc>
          <w:tcPr>
            <w:tcW w:w="0" w:type="auto"/>
            <w:shd w:val="clear" w:color="auto" w:fill="FFFFFF"/>
            <w:vAlign w:val="center"/>
          </w:tcPr>
          <w:p w14:paraId="1ECA24F3"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23 (10)</w:t>
            </w:r>
          </w:p>
        </w:tc>
        <w:tc>
          <w:tcPr>
            <w:tcW w:w="0" w:type="auto"/>
            <w:shd w:val="clear" w:color="auto" w:fill="FFFFFF"/>
            <w:vAlign w:val="center"/>
          </w:tcPr>
          <w:p w14:paraId="4BF835BA"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14.7</w:t>
            </w:r>
          </w:p>
        </w:tc>
      </w:tr>
      <w:tr w:rsidR="0054166F" w:rsidRPr="00B82602" w14:paraId="34CD210C" w14:textId="77777777" w:rsidTr="00B82602">
        <w:trPr>
          <w:trHeight w:hRule="exact" w:val="389"/>
          <w:jc w:val="center"/>
        </w:trPr>
        <w:tc>
          <w:tcPr>
            <w:tcW w:w="2156" w:type="dxa"/>
            <w:shd w:val="clear" w:color="auto" w:fill="FFFFFF"/>
            <w:vAlign w:val="center"/>
          </w:tcPr>
          <w:p w14:paraId="74747EE9" w14:textId="77777777" w:rsidR="00A764C1" w:rsidRPr="00A764C1" w:rsidRDefault="00A764C1" w:rsidP="00764D89">
            <w:pPr>
              <w:jc w:val="center"/>
              <w:rPr>
                <w:rFonts w:eastAsia="Calibri"/>
                <w:b/>
                <w:bCs/>
                <w:sz w:val="18"/>
                <w:szCs w:val="22"/>
                <w:lang w:eastAsia="en-US" w:bidi="en-GB"/>
              </w:rPr>
            </w:pPr>
            <w:r w:rsidRPr="00A764C1">
              <w:rPr>
                <w:rFonts w:eastAsia="Calibri"/>
                <w:b/>
                <w:bCs/>
                <w:sz w:val="18"/>
                <w:szCs w:val="22"/>
                <w:lang w:eastAsia="en-US" w:bidi="en-GB"/>
              </w:rPr>
              <w:t>35-59</w:t>
            </w:r>
          </w:p>
        </w:tc>
        <w:tc>
          <w:tcPr>
            <w:tcW w:w="0" w:type="auto"/>
            <w:shd w:val="clear" w:color="auto" w:fill="FFFFFF"/>
            <w:vAlign w:val="center"/>
          </w:tcPr>
          <w:p w14:paraId="3435938D"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21,151</w:t>
            </w:r>
          </w:p>
        </w:tc>
        <w:tc>
          <w:tcPr>
            <w:tcW w:w="0" w:type="auto"/>
            <w:shd w:val="clear" w:color="auto" w:fill="FFFFFF"/>
            <w:vAlign w:val="center"/>
          </w:tcPr>
          <w:p w14:paraId="066A5913"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260 (68)</w:t>
            </w:r>
          </w:p>
        </w:tc>
        <w:tc>
          <w:tcPr>
            <w:tcW w:w="0" w:type="auto"/>
            <w:shd w:val="clear" w:color="auto" w:fill="FFFFFF"/>
            <w:vAlign w:val="center"/>
          </w:tcPr>
          <w:p w14:paraId="38E7E101"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12.0</w:t>
            </w:r>
          </w:p>
        </w:tc>
        <w:tc>
          <w:tcPr>
            <w:tcW w:w="0" w:type="auto"/>
            <w:shd w:val="clear" w:color="auto" w:fill="FFFFFF"/>
            <w:vAlign w:val="center"/>
          </w:tcPr>
          <w:p w14:paraId="32AFB88F"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20,788</w:t>
            </w:r>
          </w:p>
        </w:tc>
        <w:tc>
          <w:tcPr>
            <w:tcW w:w="0" w:type="auto"/>
            <w:shd w:val="clear" w:color="auto" w:fill="FFFFFF"/>
            <w:vAlign w:val="center"/>
          </w:tcPr>
          <w:p w14:paraId="1A480D95"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146 (64)</w:t>
            </w:r>
          </w:p>
        </w:tc>
        <w:tc>
          <w:tcPr>
            <w:tcW w:w="0" w:type="auto"/>
            <w:shd w:val="clear" w:color="auto" w:fill="FFFFFF"/>
            <w:vAlign w:val="center"/>
          </w:tcPr>
          <w:p w14:paraId="593DD97B"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7.5</w:t>
            </w:r>
          </w:p>
        </w:tc>
      </w:tr>
      <w:tr w:rsidR="0054166F" w:rsidRPr="00B82602" w14:paraId="18DE0017" w14:textId="77777777" w:rsidTr="00B82602">
        <w:trPr>
          <w:trHeight w:hRule="exact" w:val="389"/>
          <w:jc w:val="center"/>
        </w:trPr>
        <w:tc>
          <w:tcPr>
            <w:tcW w:w="2156" w:type="dxa"/>
            <w:shd w:val="clear" w:color="auto" w:fill="FFFFFF"/>
            <w:vAlign w:val="center"/>
          </w:tcPr>
          <w:p w14:paraId="3C798946" w14:textId="77777777" w:rsidR="00A764C1" w:rsidRPr="00A764C1" w:rsidRDefault="00A764C1" w:rsidP="00764D89">
            <w:pPr>
              <w:jc w:val="center"/>
              <w:rPr>
                <w:rFonts w:eastAsia="Calibri"/>
                <w:b/>
                <w:bCs/>
                <w:sz w:val="18"/>
                <w:szCs w:val="22"/>
                <w:lang w:eastAsia="en-US" w:bidi="en-GB"/>
              </w:rPr>
            </w:pPr>
            <w:r w:rsidRPr="00A764C1">
              <w:rPr>
                <w:rFonts w:eastAsia="Calibri"/>
                <w:b/>
                <w:bCs/>
                <w:sz w:val="18"/>
                <w:szCs w:val="22"/>
                <w:lang w:val="en-GB" w:eastAsia="en-US"/>
              </w:rPr>
              <w:t xml:space="preserve">≥ </w:t>
            </w:r>
            <w:r w:rsidRPr="00A764C1">
              <w:rPr>
                <w:rFonts w:eastAsia="Calibri"/>
                <w:b/>
                <w:bCs/>
                <w:sz w:val="18"/>
                <w:szCs w:val="22"/>
                <w:lang w:eastAsia="en-US" w:bidi="en-GB"/>
              </w:rPr>
              <w:t>60</w:t>
            </w:r>
          </w:p>
        </w:tc>
        <w:tc>
          <w:tcPr>
            <w:tcW w:w="0" w:type="auto"/>
            <w:shd w:val="clear" w:color="auto" w:fill="FFFFFF"/>
            <w:vAlign w:val="center"/>
          </w:tcPr>
          <w:p w14:paraId="1D9419F3"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3,409</w:t>
            </w:r>
          </w:p>
        </w:tc>
        <w:tc>
          <w:tcPr>
            <w:tcW w:w="0" w:type="auto"/>
            <w:shd w:val="clear" w:color="auto" w:fill="FFFFFF"/>
            <w:vAlign w:val="center"/>
          </w:tcPr>
          <w:p w14:paraId="55B438BF"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26 (7)</w:t>
            </w:r>
          </w:p>
        </w:tc>
        <w:tc>
          <w:tcPr>
            <w:tcW w:w="0" w:type="auto"/>
            <w:shd w:val="clear" w:color="auto" w:fill="FFFFFF"/>
            <w:vAlign w:val="center"/>
          </w:tcPr>
          <w:p w14:paraId="7DF1DD70"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8.2</w:t>
            </w:r>
          </w:p>
        </w:tc>
        <w:tc>
          <w:tcPr>
            <w:tcW w:w="0" w:type="auto"/>
            <w:shd w:val="clear" w:color="auto" w:fill="FFFFFF"/>
            <w:vAlign w:val="center"/>
          </w:tcPr>
          <w:p w14:paraId="42C8FAAA"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15,761</w:t>
            </w:r>
          </w:p>
        </w:tc>
        <w:tc>
          <w:tcPr>
            <w:tcW w:w="0" w:type="auto"/>
            <w:shd w:val="clear" w:color="auto" w:fill="FFFFFF"/>
            <w:vAlign w:val="center"/>
          </w:tcPr>
          <w:p w14:paraId="334511AB"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58 (26)</w:t>
            </w:r>
          </w:p>
        </w:tc>
        <w:tc>
          <w:tcPr>
            <w:tcW w:w="0" w:type="auto"/>
            <w:shd w:val="clear" w:color="auto" w:fill="FFFFFF"/>
            <w:vAlign w:val="center"/>
          </w:tcPr>
          <w:p w14:paraId="7BC392A7"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3.9</w:t>
            </w:r>
          </w:p>
        </w:tc>
      </w:tr>
      <w:tr w:rsidR="0054166F" w:rsidRPr="00B82602" w14:paraId="36838CC5" w14:textId="77777777" w:rsidTr="00B82602">
        <w:trPr>
          <w:trHeight w:hRule="exact" w:val="403"/>
          <w:jc w:val="center"/>
        </w:trPr>
        <w:tc>
          <w:tcPr>
            <w:tcW w:w="2156" w:type="dxa"/>
            <w:shd w:val="clear" w:color="auto" w:fill="F2F2F2"/>
            <w:vAlign w:val="center"/>
          </w:tcPr>
          <w:p w14:paraId="17B629BB" w14:textId="123655BE" w:rsidR="00A764C1" w:rsidRPr="00A764C1" w:rsidRDefault="003A15CC" w:rsidP="00764D89">
            <w:pPr>
              <w:jc w:val="left"/>
              <w:rPr>
                <w:rFonts w:eastAsia="Calibri" w:hint="cs"/>
                <w:b/>
                <w:bCs/>
                <w:sz w:val="18"/>
                <w:szCs w:val="22"/>
                <w:rtl/>
                <w:lang w:eastAsia="en-US" w:bidi="fa-IR"/>
              </w:rPr>
            </w:pPr>
            <w:r w:rsidRPr="00B82602">
              <w:rPr>
                <w:rFonts w:eastAsia="Calibri"/>
                <w:b/>
                <w:bCs/>
                <w:sz w:val="18"/>
                <w:szCs w:val="22"/>
                <w:lang w:eastAsia="en-US" w:bidi="en-GB"/>
              </w:rPr>
              <w:t>LDL-C</w:t>
            </w:r>
            <w:r w:rsidRPr="00B82602">
              <w:rPr>
                <w:rFonts w:eastAsia="Calibri" w:hint="cs"/>
                <w:b/>
                <w:bCs/>
                <w:sz w:val="18"/>
                <w:szCs w:val="22"/>
                <w:rtl/>
                <w:lang w:eastAsia="en-US" w:bidi="fa-IR"/>
              </w:rPr>
              <w:t xml:space="preserve"> میلی گرم بر دسی لیتر</w:t>
            </w:r>
          </w:p>
        </w:tc>
        <w:tc>
          <w:tcPr>
            <w:tcW w:w="0" w:type="auto"/>
            <w:shd w:val="clear" w:color="auto" w:fill="F2F2F2"/>
            <w:vAlign w:val="center"/>
          </w:tcPr>
          <w:p w14:paraId="426BA753"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36FF046D"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7059AB4D"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3B0DA3C8"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1550FE69" w14:textId="77777777" w:rsidR="00A764C1" w:rsidRPr="00A764C1" w:rsidRDefault="00A764C1" w:rsidP="00764D89">
            <w:pPr>
              <w:jc w:val="center"/>
              <w:rPr>
                <w:rFonts w:eastAsia="Calibri"/>
                <w:sz w:val="18"/>
                <w:szCs w:val="22"/>
                <w:lang w:eastAsia="en-US" w:bidi="en-GB"/>
              </w:rPr>
            </w:pPr>
          </w:p>
        </w:tc>
        <w:tc>
          <w:tcPr>
            <w:tcW w:w="0" w:type="auto"/>
            <w:shd w:val="clear" w:color="auto" w:fill="F2F2F2"/>
            <w:vAlign w:val="center"/>
          </w:tcPr>
          <w:p w14:paraId="5F3CB1F2" w14:textId="77777777" w:rsidR="00A764C1" w:rsidRPr="00A764C1" w:rsidRDefault="00A764C1" w:rsidP="00764D89">
            <w:pPr>
              <w:jc w:val="center"/>
              <w:rPr>
                <w:rFonts w:eastAsia="Calibri"/>
                <w:sz w:val="18"/>
                <w:szCs w:val="22"/>
                <w:lang w:eastAsia="en-US" w:bidi="en-GB"/>
              </w:rPr>
            </w:pPr>
          </w:p>
        </w:tc>
      </w:tr>
      <w:tr w:rsidR="0054166F" w:rsidRPr="00B82602" w14:paraId="189B2B55" w14:textId="77777777" w:rsidTr="00B82602">
        <w:trPr>
          <w:trHeight w:hRule="exact" w:val="379"/>
          <w:jc w:val="center"/>
        </w:trPr>
        <w:tc>
          <w:tcPr>
            <w:tcW w:w="2156" w:type="dxa"/>
            <w:shd w:val="clear" w:color="auto" w:fill="FFFFFF"/>
            <w:vAlign w:val="center"/>
          </w:tcPr>
          <w:p w14:paraId="6FBC4512" w14:textId="77777777" w:rsidR="00A764C1" w:rsidRPr="00A764C1" w:rsidRDefault="00A764C1" w:rsidP="00764D89">
            <w:pPr>
              <w:jc w:val="center"/>
              <w:rPr>
                <w:rFonts w:eastAsia="Calibri"/>
                <w:b/>
                <w:bCs/>
                <w:sz w:val="18"/>
                <w:szCs w:val="22"/>
                <w:lang w:eastAsia="en-US" w:bidi="en-GB"/>
              </w:rPr>
            </w:pPr>
            <w:r w:rsidRPr="00A764C1">
              <w:rPr>
                <w:rFonts w:eastAsia="Calibri"/>
                <w:b/>
                <w:bCs/>
                <w:sz w:val="18"/>
                <w:szCs w:val="22"/>
                <w:lang w:eastAsia="en-US" w:bidi="en-GB"/>
              </w:rPr>
              <w:t>&lt; 130</w:t>
            </w:r>
          </w:p>
        </w:tc>
        <w:tc>
          <w:tcPr>
            <w:tcW w:w="0" w:type="auto"/>
            <w:shd w:val="clear" w:color="auto" w:fill="FFFFFF"/>
            <w:vAlign w:val="center"/>
          </w:tcPr>
          <w:p w14:paraId="24B2A5C6"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11,142</w:t>
            </w:r>
          </w:p>
        </w:tc>
        <w:tc>
          <w:tcPr>
            <w:tcW w:w="0" w:type="auto"/>
            <w:shd w:val="clear" w:color="auto" w:fill="FFFFFF"/>
            <w:vAlign w:val="center"/>
          </w:tcPr>
          <w:p w14:paraId="748E557F"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104 (27)</w:t>
            </w:r>
          </w:p>
        </w:tc>
        <w:tc>
          <w:tcPr>
            <w:tcW w:w="0" w:type="auto"/>
            <w:shd w:val="clear" w:color="auto" w:fill="FFFFFF"/>
            <w:vAlign w:val="center"/>
          </w:tcPr>
          <w:p w14:paraId="1372EEA9"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7.3</w:t>
            </w:r>
          </w:p>
        </w:tc>
        <w:tc>
          <w:tcPr>
            <w:tcW w:w="0" w:type="auto"/>
            <w:shd w:val="clear" w:color="auto" w:fill="FFFFFF"/>
            <w:vAlign w:val="center"/>
          </w:tcPr>
          <w:p w14:paraId="3B3A973F"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15,835</w:t>
            </w:r>
          </w:p>
        </w:tc>
        <w:tc>
          <w:tcPr>
            <w:tcW w:w="0" w:type="auto"/>
            <w:shd w:val="clear" w:color="auto" w:fill="FFFFFF"/>
            <w:vAlign w:val="center"/>
          </w:tcPr>
          <w:p w14:paraId="51C91B29"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50 (22)</w:t>
            </w:r>
          </w:p>
        </w:tc>
        <w:tc>
          <w:tcPr>
            <w:tcW w:w="0" w:type="auto"/>
            <w:shd w:val="clear" w:color="auto" w:fill="FFFFFF"/>
            <w:vAlign w:val="center"/>
          </w:tcPr>
          <w:p w14:paraId="2B23D47B"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2.3</w:t>
            </w:r>
          </w:p>
        </w:tc>
      </w:tr>
      <w:tr w:rsidR="0054166F" w:rsidRPr="00B82602" w14:paraId="1C210C01" w14:textId="77777777" w:rsidTr="00B82602">
        <w:trPr>
          <w:trHeight w:hRule="exact" w:val="389"/>
          <w:jc w:val="center"/>
        </w:trPr>
        <w:tc>
          <w:tcPr>
            <w:tcW w:w="2156" w:type="dxa"/>
            <w:shd w:val="clear" w:color="auto" w:fill="FFFFFF"/>
            <w:vAlign w:val="center"/>
          </w:tcPr>
          <w:p w14:paraId="13DA1BA5" w14:textId="77777777" w:rsidR="00A764C1" w:rsidRPr="00A764C1" w:rsidRDefault="00A764C1" w:rsidP="00764D89">
            <w:pPr>
              <w:jc w:val="center"/>
              <w:rPr>
                <w:rFonts w:eastAsia="Calibri"/>
                <w:b/>
                <w:bCs/>
                <w:sz w:val="18"/>
                <w:szCs w:val="22"/>
                <w:lang w:eastAsia="en-US" w:bidi="en-GB"/>
              </w:rPr>
            </w:pPr>
            <w:r w:rsidRPr="00A764C1">
              <w:rPr>
                <w:rFonts w:eastAsia="Calibri"/>
                <w:b/>
                <w:bCs/>
                <w:sz w:val="18"/>
                <w:szCs w:val="22"/>
                <w:lang w:val="en-GB" w:eastAsia="en-US"/>
              </w:rPr>
              <w:t>130-159</w:t>
            </w:r>
          </w:p>
        </w:tc>
        <w:tc>
          <w:tcPr>
            <w:tcW w:w="0" w:type="auto"/>
            <w:shd w:val="clear" w:color="auto" w:fill="FFFFFF"/>
            <w:vAlign w:val="center"/>
          </w:tcPr>
          <w:p w14:paraId="31635286"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10,384</w:t>
            </w:r>
          </w:p>
        </w:tc>
        <w:tc>
          <w:tcPr>
            <w:tcW w:w="0" w:type="auto"/>
            <w:shd w:val="clear" w:color="auto" w:fill="FFFFFF"/>
            <w:vAlign w:val="center"/>
          </w:tcPr>
          <w:p w14:paraId="4A61A064"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124 (32)</w:t>
            </w:r>
          </w:p>
        </w:tc>
        <w:tc>
          <w:tcPr>
            <w:tcW w:w="0" w:type="auto"/>
            <w:shd w:val="clear" w:color="auto" w:fill="FFFFFF"/>
            <w:vAlign w:val="center"/>
          </w:tcPr>
          <w:p w14:paraId="1E5301A2"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11.3</w:t>
            </w:r>
          </w:p>
        </w:tc>
        <w:tc>
          <w:tcPr>
            <w:tcW w:w="0" w:type="auto"/>
            <w:shd w:val="clear" w:color="auto" w:fill="FFFFFF"/>
            <w:vAlign w:val="center"/>
          </w:tcPr>
          <w:p w14:paraId="71726D81"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10,455</w:t>
            </w:r>
          </w:p>
        </w:tc>
        <w:tc>
          <w:tcPr>
            <w:tcW w:w="0" w:type="auto"/>
            <w:shd w:val="clear" w:color="auto" w:fill="FFFFFF"/>
            <w:vAlign w:val="center"/>
          </w:tcPr>
          <w:p w14:paraId="4DDFDCE8"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64 (28)</w:t>
            </w:r>
          </w:p>
        </w:tc>
        <w:tc>
          <w:tcPr>
            <w:tcW w:w="0" w:type="auto"/>
            <w:shd w:val="clear" w:color="auto" w:fill="FFFFFF"/>
            <w:vAlign w:val="center"/>
          </w:tcPr>
          <w:p w14:paraId="202A919E"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6.5</w:t>
            </w:r>
          </w:p>
        </w:tc>
      </w:tr>
      <w:tr w:rsidR="0054166F" w:rsidRPr="00B82602" w14:paraId="14570D6E" w14:textId="77777777" w:rsidTr="00B82602">
        <w:trPr>
          <w:trHeight w:hRule="exact" w:val="394"/>
          <w:jc w:val="center"/>
        </w:trPr>
        <w:tc>
          <w:tcPr>
            <w:tcW w:w="2156" w:type="dxa"/>
            <w:shd w:val="clear" w:color="auto" w:fill="FFFFFF"/>
            <w:vAlign w:val="center"/>
          </w:tcPr>
          <w:p w14:paraId="3AD63F48" w14:textId="77777777" w:rsidR="00A764C1" w:rsidRPr="00A764C1" w:rsidRDefault="00A764C1" w:rsidP="00764D89">
            <w:pPr>
              <w:jc w:val="center"/>
              <w:rPr>
                <w:rFonts w:eastAsia="Calibri"/>
                <w:b/>
                <w:bCs/>
                <w:sz w:val="18"/>
                <w:szCs w:val="22"/>
                <w:lang w:eastAsia="en-US" w:bidi="en-GB"/>
              </w:rPr>
            </w:pPr>
            <w:r w:rsidRPr="00A764C1">
              <w:rPr>
                <w:rFonts w:eastAsia="Calibri"/>
                <w:b/>
                <w:bCs/>
                <w:sz w:val="18"/>
                <w:szCs w:val="22"/>
                <w:lang w:val="en-GB" w:eastAsia="en-US"/>
              </w:rPr>
              <w:t xml:space="preserve">≥ </w:t>
            </w:r>
            <w:r w:rsidRPr="00A764C1">
              <w:rPr>
                <w:rFonts w:eastAsia="Calibri"/>
                <w:b/>
                <w:bCs/>
                <w:sz w:val="18"/>
                <w:szCs w:val="22"/>
                <w:lang w:eastAsia="en-US" w:bidi="en-GB"/>
              </w:rPr>
              <w:t>160</w:t>
            </w:r>
          </w:p>
        </w:tc>
        <w:tc>
          <w:tcPr>
            <w:tcW w:w="0" w:type="auto"/>
            <w:shd w:val="clear" w:color="auto" w:fill="FFFFFF"/>
            <w:vAlign w:val="center"/>
          </w:tcPr>
          <w:p w14:paraId="48467A7B"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8,628</w:t>
            </w:r>
          </w:p>
        </w:tc>
        <w:tc>
          <w:tcPr>
            <w:tcW w:w="0" w:type="auto"/>
            <w:shd w:val="clear" w:color="auto" w:fill="FFFFFF"/>
            <w:vAlign w:val="center"/>
          </w:tcPr>
          <w:p w14:paraId="52D5ABE8"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155(41)</w:t>
            </w:r>
          </w:p>
        </w:tc>
        <w:tc>
          <w:tcPr>
            <w:tcW w:w="0" w:type="auto"/>
            <w:shd w:val="clear" w:color="auto" w:fill="FFFFFF"/>
            <w:vAlign w:val="center"/>
          </w:tcPr>
          <w:p w14:paraId="6A30BA58"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17.3</w:t>
            </w:r>
          </w:p>
        </w:tc>
        <w:tc>
          <w:tcPr>
            <w:tcW w:w="0" w:type="auto"/>
            <w:shd w:val="clear" w:color="auto" w:fill="FFFFFF"/>
            <w:vAlign w:val="center"/>
          </w:tcPr>
          <w:p w14:paraId="6A69C4B7"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11,767</w:t>
            </w:r>
          </w:p>
        </w:tc>
        <w:tc>
          <w:tcPr>
            <w:tcW w:w="0" w:type="auto"/>
            <w:shd w:val="clear" w:color="auto" w:fill="FFFFFF"/>
            <w:vAlign w:val="center"/>
          </w:tcPr>
          <w:p w14:paraId="76AC9F42"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113 (50)</w:t>
            </w:r>
          </w:p>
        </w:tc>
        <w:tc>
          <w:tcPr>
            <w:tcW w:w="0" w:type="auto"/>
            <w:shd w:val="clear" w:color="auto" w:fill="FFFFFF"/>
            <w:vAlign w:val="center"/>
          </w:tcPr>
          <w:p w14:paraId="57668DB4" w14:textId="77777777" w:rsidR="00A764C1" w:rsidRPr="00A764C1" w:rsidRDefault="00A764C1" w:rsidP="00764D89">
            <w:pPr>
              <w:jc w:val="center"/>
              <w:rPr>
                <w:rFonts w:eastAsia="Calibri"/>
                <w:sz w:val="18"/>
                <w:szCs w:val="22"/>
                <w:lang w:eastAsia="en-US" w:bidi="en-GB"/>
              </w:rPr>
            </w:pPr>
            <w:r w:rsidRPr="00A764C1">
              <w:rPr>
                <w:rFonts w:eastAsia="Calibri"/>
                <w:sz w:val="18"/>
                <w:szCs w:val="22"/>
                <w:lang w:eastAsia="en-US" w:bidi="en-GB"/>
              </w:rPr>
              <w:t>10.6</w:t>
            </w:r>
          </w:p>
        </w:tc>
      </w:tr>
    </w:tbl>
    <w:p w14:paraId="5A49F7F9" w14:textId="479A5915" w:rsidR="000B30EA" w:rsidRPr="008F7105" w:rsidRDefault="00A26566">
      <w:pPr>
        <w:rPr>
          <w:rFonts w:hint="cs"/>
          <w:sz w:val="18"/>
          <w:szCs w:val="20"/>
          <w:rtl/>
          <w:lang w:bidi="fa-IR"/>
        </w:rPr>
      </w:pPr>
      <w:r w:rsidRPr="008F7105">
        <w:rPr>
          <w:rFonts w:hint="cs"/>
          <w:sz w:val="18"/>
          <w:szCs w:val="20"/>
          <w:rtl/>
          <w:lang w:bidi="fa-IR"/>
        </w:rPr>
        <w:t>نکته: *=نرخ 10 ساله تنظیم شده براساس سن؛ **</w:t>
      </w:r>
      <w:r w:rsidR="00E343A3" w:rsidRPr="008F7105">
        <w:rPr>
          <w:rFonts w:hint="cs"/>
          <w:sz w:val="18"/>
          <w:szCs w:val="20"/>
          <w:rtl/>
          <w:lang w:bidi="fa-IR"/>
        </w:rPr>
        <w:t xml:space="preserve">=فرد-سال؛ و </w:t>
      </w:r>
      <w:r w:rsidR="00E343A3" w:rsidRPr="008F7105">
        <w:rPr>
          <w:sz w:val="18"/>
          <w:szCs w:val="20"/>
          <w:lang w:bidi="fa-IR"/>
        </w:rPr>
        <w:t>^</w:t>
      </w:r>
      <w:r w:rsidR="00E343A3" w:rsidRPr="008F7105">
        <w:rPr>
          <w:rFonts w:hint="cs"/>
          <w:sz w:val="18"/>
          <w:szCs w:val="20"/>
          <w:rtl/>
          <w:lang w:bidi="fa-IR"/>
        </w:rPr>
        <w:t xml:space="preserve">=شامل بهینه نیز می باشد. نرخ </w:t>
      </w:r>
      <w:r w:rsidR="00E343A3" w:rsidRPr="008F7105">
        <w:rPr>
          <w:sz w:val="18"/>
          <w:szCs w:val="20"/>
          <w:lang w:bidi="fa-IR"/>
        </w:rPr>
        <w:t>CHD</w:t>
      </w:r>
      <w:r w:rsidR="00E343A3" w:rsidRPr="008F7105">
        <w:rPr>
          <w:rFonts w:hint="cs"/>
          <w:sz w:val="18"/>
          <w:szCs w:val="20"/>
          <w:rtl/>
          <w:lang w:bidi="fa-IR"/>
        </w:rPr>
        <w:t xml:space="preserve"> تنظیم شده براساس سن 10 ساله با مدل خطرات متناسب کاکس</w:t>
      </w:r>
      <w:r w:rsidR="00D50FCC" w:rsidRPr="008F7105">
        <w:rPr>
          <w:rFonts w:hint="cs"/>
          <w:sz w:val="18"/>
          <w:szCs w:val="20"/>
          <w:rtl/>
          <w:lang w:bidi="fa-IR"/>
        </w:rPr>
        <w:t xml:space="preserve"> براساس 12 سال فالوآپ محاسبه شده است (218).</w:t>
      </w:r>
    </w:p>
    <w:p w14:paraId="79472A4D" w14:textId="473125EE" w:rsidR="00FD444E" w:rsidRDefault="008F7105">
      <w:pPr>
        <w:rPr>
          <w:b/>
          <w:bCs/>
          <w:rtl/>
          <w:lang w:bidi="fa-IR"/>
        </w:rPr>
      </w:pPr>
      <w:r>
        <w:rPr>
          <w:rFonts w:hint="cs"/>
          <w:b/>
          <w:bCs/>
          <w:rtl/>
          <w:lang w:bidi="fa-IR"/>
        </w:rPr>
        <w:t xml:space="preserve">2.3.2 </w:t>
      </w:r>
      <w:r>
        <w:rPr>
          <w:b/>
          <w:bCs/>
          <w:lang w:bidi="fa-IR"/>
        </w:rPr>
        <w:t>FRS-CVD</w:t>
      </w:r>
      <w:r>
        <w:rPr>
          <w:rFonts w:hint="cs"/>
          <w:b/>
          <w:bCs/>
          <w:rtl/>
          <w:lang w:bidi="fa-IR"/>
        </w:rPr>
        <w:t xml:space="preserve">، </w:t>
      </w:r>
      <w:r>
        <w:rPr>
          <w:b/>
          <w:bCs/>
          <w:lang w:bidi="fa-IR"/>
        </w:rPr>
        <w:t>FRS-CHD</w:t>
      </w:r>
      <w:r>
        <w:rPr>
          <w:rFonts w:hint="cs"/>
          <w:b/>
          <w:bCs/>
          <w:rtl/>
          <w:lang w:bidi="fa-IR"/>
        </w:rPr>
        <w:t xml:space="preserve">، نمرة ریسک رینولد </w:t>
      </w:r>
      <w:r>
        <w:rPr>
          <w:b/>
          <w:bCs/>
          <w:lang w:bidi="fa-IR"/>
        </w:rPr>
        <w:t>(RRS)</w:t>
      </w:r>
      <w:r>
        <w:rPr>
          <w:rFonts w:hint="cs"/>
          <w:b/>
          <w:bCs/>
          <w:rtl/>
          <w:lang w:bidi="fa-IR"/>
        </w:rPr>
        <w:t xml:space="preserve">، و نمرة ریسک </w:t>
      </w:r>
      <w:r>
        <w:rPr>
          <w:b/>
          <w:bCs/>
          <w:lang w:bidi="fa-IR"/>
        </w:rPr>
        <w:t>ATP III</w:t>
      </w:r>
    </w:p>
    <w:p w14:paraId="4388EE8E" w14:textId="326F06F3" w:rsidR="008F7105" w:rsidRDefault="00814461">
      <w:pPr>
        <w:rPr>
          <w:rtl/>
          <w:lang w:bidi="fa-IR"/>
        </w:rPr>
      </w:pPr>
      <w:r>
        <w:rPr>
          <w:rFonts w:hint="cs"/>
          <w:rtl/>
          <w:lang w:bidi="fa-IR"/>
        </w:rPr>
        <w:t>مطالعة قلب فرامینگهام انقلابی در درک ریسک بیماری قلبی عروقی ایجاد کرد.</w:t>
      </w:r>
      <w:r w:rsidR="00E02E4E">
        <w:rPr>
          <w:rFonts w:hint="cs"/>
          <w:rtl/>
          <w:lang w:bidi="fa-IR"/>
        </w:rPr>
        <w:t xml:space="preserve"> یکی از تصورات بالینی نادرستی که توسط یافته های فرامینگهام رد شد این باور بود که افزایش فشار خون در سالمندان (به اصطلاح هایپرتنشن اساسی</w:t>
      </w:r>
      <w:r w:rsidR="0066602C">
        <w:rPr>
          <w:rFonts w:hint="cs"/>
          <w:rtl/>
          <w:lang w:bidi="fa-IR"/>
        </w:rPr>
        <w:t xml:space="preserve"> خوشخیم) </w:t>
      </w:r>
      <w:r w:rsidR="00EA1379">
        <w:rPr>
          <w:rFonts w:hint="cs"/>
          <w:rtl/>
          <w:lang w:bidi="fa-IR"/>
        </w:rPr>
        <w:t xml:space="preserve">یک پاسخ جبرانی طبیعی برای هل دادن خون در شریان های پیر است، اگرچه نمرات ریسک متناظر براساس داده های 60 ساله هستند و در محیط بالینی مدرن با ریسک فاکتورهای جدیدتری همچون نمرة کلسیم کرونری، </w:t>
      </w:r>
      <w:r w:rsidR="008D52F4">
        <w:rPr>
          <w:rFonts w:hint="cs"/>
          <w:rtl/>
          <w:lang w:bidi="fa-IR"/>
        </w:rPr>
        <w:t xml:space="preserve">پروتئین واکنشی </w:t>
      </w:r>
      <w:r w:rsidR="008D52F4">
        <w:rPr>
          <w:lang w:bidi="fa-IR"/>
        </w:rPr>
        <w:t>C</w:t>
      </w:r>
      <w:r w:rsidR="008D52F4">
        <w:rPr>
          <w:rFonts w:hint="cs"/>
          <w:rtl/>
          <w:lang w:bidi="fa-IR"/>
        </w:rPr>
        <w:t xml:space="preserve"> با حساسیت زیاد، سایر بیومارکرها، و سابقة ژنتیکی </w:t>
      </w:r>
      <w:r w:rsidR="008D52F4">
        <w:rPr>
          <w:lang w:bidi="fa-IR"/>
        </w:rPr>
        <w:t>CHD</w:t>
      </w:r>
      <w:r w:rsidR="008D52F4">
        <w:rPr>
          <w:rFonts w:hint="cs"/>
          <w:rtl/>
          <w:lang w:bidi="fa-IR"/>
        </w:rPr>
        <w:t xml:space="preserve"> </w:t>
      </w:r>
      <w:r w:rsidR="00EE3271">
        <w:rPr>
          <w:rFonts w:hint="cs"/>
          <w:rtl/>
          <w:lang w:bidi="fa-IR"/>
        </w:rPr>
        <w:t xml:space="preserve">اعتبار آن ها زیر سوال است. </w:t>
      </w:r>
    </w:p>
    <w:p w14:paraId="686A71BD" w14:textId="434B61C8" w:rsidR="00EE3271" w:rsidRDefault="00A434C0">
      <w:pPr>
        <w:rPr>
          <w:rtl/>
          <w:lang w:bidi="fa-IR"/>
        </w:rPr>
      </w:pPr>
      <w:r>
        <w:rPr>
          <w:rFonts w:hint="cs"/>
          <w:rtl/>
          <w:lang w:bidi="fa-IR"/>
        </w:rPr>
        <w:t xml:space="preserve">در مجموع، مجموع این مسائل در کمترین حالت نیاز به طبقه بندی مجدد یا کالیبراسیون مجدد نمرات ریسک را به دلیل پیشرفت دانش پزشکی و تحقیقاتی پیشنهاد می ددهند. </w:t>
      </w:r>
      <w:r w:rsidR="00127FA5">
        <w:rPr>
          <w:rFonts w:hint="cs"/>
          <w:rtl/>
          <w:lang w:bidi="fa-IR"/>
        </w:rPr>
        <w:t xml:space="preserve">با توجه به این که با </w:t>
      </w:r>
      <w:r w:rsidR="004C7C5A">
        <w:rPr>
          <w:rFonts w:hint="cs"/>
          <w:rtl/>
          <w:lang w:bidi="fa-IR"/>
        </w:rPr>
        <w:t xml:space="preserve">اپیدمی بیماری قلبی و تعداد فزاینده ای از افراد و زنان جوان نگران ریسک بیماری قلبی </w:t>
      </w:r>
      <w:r w:rsidR="00127FA5">
        <w:rPr>
          <w:rFonts w:hint="cs"/>
          <w:rtl/>
          <w:lang w:bidi="fa-IR"/>
        </w:rPr>
        <w:t>مواجه هستیم</w:t>
      </w:r>
      <w:r w:rsidR="004C7C5A">
        <w:rPr>
          <w:rFonts w:hint="cs"/>
          <w:rtl/>
          <w:lang w:bidi="fa-IR"/>
        </w:rPr>
        <w:t>، ممکن است</w:t>
      </w:r>
      <w:r w:rsidR="00127FA5" w:rsidRPr="00127FA5">
        <w:rPr>
          <w:rFonts w:hint="cs"/>
          <w:rtl/>
          <w:lang w:bidi="fa-IR"/>
        </w:rPr>
        <w:t xml:space="preserve"> </w:t>
      </w:r>
      <w:r w:rsidR="00127FA5">
        <w:rPr>
          <w:rFonts w:hint="cs"/>
          <w:rtl/>
          <w:lang w:bidi="fa-IR"/>
        </w:rPr>
        <w:t>فرامینگهام و افق 10 سالة مربوط</w:t>
      </w:r>
      <w:r w:rsidR="00127FA5">
        <w:rPr>
          <w:rFonts w:hint="cs"/>
          <w:rtl/>
          <w:lang w:bidi="fa-IR"/>
        </w:rPr>
        <w:t>ة آن</w:t>
      </w:r>
      <w:r w:rsidR="004C7C5A">
        <w:rPr>
          <w:rFonts w:hint="cs"/>
          <w:rtl/>
          <w:lang w:bidi="fa-IR"/>
        </w:rPr>
        <w:t xml:space="preserve"> ریسک بلندمدت </w:t>
      </w:r>
      <w:r w:rsidR="004C7C5A">
        <w:rPr>
          <w:lang w:bidi="fa-IR"/>
        </w:rPr>
        <w:t>CVD</w:t>
      </w:r>
      <w:r w:rsidR="004C7C5A">
        <w:rPr>
          <w:rFonts w:hint="cs"/>
          <w:rtl/>
          <w:lang w:bidi="fa-IR"/>
        </w:rPr>
        <w:t xml:space="preserve"> را کمتر از واقع برآورد کرده و تصور نادرستی از امنیت سلامت ایجاد نماید. </w:t>
      </w:r>
    </w:p>
    <w:p w14:paraId="3DF31138" w14:textId="3A9E6583" w:rsidR="00127FA5" w:rsidRDefault="008F2ED3">
      <w:pPr>
        <w:rPr>
          <w:rtl/>
          <w:lang w:bidi="fa-IR"/>
        </w:rPr>
      </w:pPr>
      <w:r>
        <w:rPr>
          <w:rFonts w:hint="cs"/>
          <w:rtl/>
          <w:lang w:bidi="fa-IR"/>
        </w:rPr>
        <w:t xml:space="preserve">علاوه بر این، سیر طبیعی و پیش آگهی زیرانواع خاص </w:t>
      </w:r>
      <w:r>
        <w:rPr>
          <w:lang w:bidi="fa-IR"/>
        </w:rPr>
        <w:t>CVD</w:t>
      </w:r>
      <w:r>
        <w:rPr>
          <w:rFonts w:hint="cs"/>
          <w:rtl/>
          <w:lang w:bidi="fa-IR"/>
        </w:rPr>
        <w:t xml:space="preserve">، همچون </w:t>
      </w:r>
      <w:r>
        <w:rPr>
          <w:lang w:bidi="fa-IR"/>
        </w:rPr>
        <w:t>MI</w:t>
      </w:r>
      <w:r>
        <w:rPr>
          <w:rFonts w:hint="cs"/>
          <w:rtl/>
          <w:lang w:bidi="fa-IR"/>
        </w:rPr>
        <w:t xml:space="preserve">، سکتة مغزی، فیبریلاسیون دهلیزی </w:t>
      </w:r>
      <w:r>
        <w:rPr>
          <w:lang w:bidi="fa-IR"/>
        </w:rPr>
        <w:t>(</w:t>
      </w:r>
      <w:proofErr w:type="spellStart"/>
      <w:r>
        <w:rPr>
          <w:lang w:bidi="fa-IR"/>
        </w:rPr>
        <w:t>Afib</w:t>
      </w:r>
      <w:proofErr w:type="spellEnd"/>
      <w:r>
        <w:rPr>
          <w:lang w:bidi="fa-IR"/>
        </w:rPr>
        <w:t>)</w:t>
      </w:r>
      <w:r>
        <w:rPr>
          <w:rFonts w:hint="cs"/>
          <w:rtl/>
          <w:lang w:bidi="fa-IR"/>
        </w:rPr>
        <w:t>، بیماری شریان</w:t>
      </w:r>
      <w:r w:rsidR="00F96971">
        <w:rPr>
          <w:rFonts w:hint="cs"/>
          <w:rtl/>
          <w:lang w:bidi="fa-IR"/>
        </w:rPr>
        <w:t xml:space="preserve">ی محیطی </w:t>
      </w:r>
      <w:r w:rsidR="00F96971">
        <w:rPr>
          <w:lang w:bidi="fa-IR"/>
        </w:rPr>
        <w:t>(PAD)</w:t>
      </w:r>
      <w:r w:rsidR="00F96971">
        <w:rPr>
          <w:rFonts w:hint="cs"/>
          <w:rtl/>
          <w:lang w:bidi="fa-IR"/>
        </w:rPr>
        <w:t xml:space="preserve">، و نارسایی قلبی </w:t>
      </w:r>
      <w:r w:rsidR="00F96971">
        <w:rPr>
          <w:lang w:bidi="fa-IR"/>
        </w:rPr>
        <w:t>(HF)</w:t>
      </w:r>
      <w:r w:rsidR="00F96971">
        <w:rPr>
          <w:rFonts w:hint="cs"/>
          <w:rtl/>
          <w:lang w:bidi="fa-IR"/>
        </w:rPr>
        <w:t xml:space="preserve"> در حال تغییر هستند. تداوم مطالعة فرامینگهام نشان داده که ریسک </w:t>
      </w:r>
      <w:r w:rsidR="00F96971">
        <w:rPr>
          <w:lang w:bidi="fa-IR"/>
        </w:rPr>
        <w:t>CVD</w:t>
      </w:r>
      <w:r w:rsidR="00F96971">
        <w:rPr>
          <w:rFonts w:hint="cs"/>
          <w:rtl/>
          <w:lang w:bidi="fa-IR"/>
        </w:rPr>
        <w:t xml:space="preserve"> با سابقة خانوادگی (</w:t>
      </w:r>
      <w:r w:rsidR="00F96971">
        <w:rPr>
          <w:lang w:bidi="fa-IR"/>
        </w:rPr>
        <w:t>FRS-CHD</w:t>
      </w:r>
      <w:r w:rsidR="00F96971">
        <w:rPr>
          <w:rFonts w:hint="cs"/>
          <w:rtl/>
          <w:lang w:bidi="fa-IR"/>
        </w:rPr>
        <w:t xml:space="preserve">) و هموگلوبین </w:t>
      </w:r>
      <w:r w:rsidR="00F96971">
        <w:rPr>
          <w:lang w:bidi="fa-IR"/>
        </w:rPr>
        <w:t>A1c</w:t>
      </w:r>
      <w:r w:rsidR="00F96971">
        <w:rPr>
          <w:rFonts w:hint="cs"/>
          <w:rtl/>
          <w:lang w:bidi="fa-IR"/>
        </w:rPr>
        <w:t xml:space="preserve"> گلیکوزیله در میان دیابتی ها </w:t>
      </w:r>
      <w:r w:rsidR="00F96971">
        <w:rPr>
          <w:lang w:bidi="fa-IR"/>
        </w:rPr>
        <w:t>(FRS-CVD)</w:t>
      </w:r>
      <w:r w:rsidR="00F96971">
        <w:rPr>
          <w:rFonts w:hint="cs"/>
          <w:rtl/>
          <w:lang w:bidi="fa-IR"/>
        </w:rPr>
        <w:t xml:space="preserve"> نیز مرتبط است. </w:t>
      </w:r>
      <w:r w:rsidR="007A7D1F">
        <w:rPr>
          <w:rFonts w:hint="cs"/>
          <w:rtl/>
          <w:lang w:bidi="fa-IR"/>
        </w:rPr>
        <w:t xml:space="preserve">یک الگوریتم ریسک جهانی جایگزین به نام پنل درمان بزرگسالان برنامة ملی آموزش کلسترول </w:t>
      </w:r>
      <w:r w:rsidR="007A7D1F">
        <w:rPr>
          <w:lang w:bidi="fa-IR"/>
        </w:rPr>
        <w:t>(ATP III)</w:t>
      </w:r>
      <w:r w:rsidR="007A7D1F">
        <w:rPr>
          <w:rFonts w:hint="cs"/>
          <w:rtl/>
          <w:lang w:bidi="fa-IR"/>
        </w:rPr>
        <w:t xml:space="preserve">، همراه با نمرة ریسک رینولد </w:t>
      </w:r>
      <w:r w:rsidR="007A7D1F">
        <w:rPr>
          <w:lang w:bidi="fa-IR"/>
        </w:rPr>
        <w:t>(RRS)</w:t>
      </w:r>
      <w:r w:rsidR="007A7D1F">
        <w:rPr>
          <w:rFonts w:hint="cs"/>
          <w:rtl/>
          <w:lang w:bidi="fa-IR"/>
        </w:rPr>
        <w:t xml:space="preserve"> برای زنان </w:t>
      </w:r>
      <w:r w:rsidR="0028291E">
        <w:rPr>
          <w:rFonts w:hint="cs"/>
          <w:rtl/>
          <w:lang w:bidi="fa-IR"/>
        </w:rPr>
        <w:t xml:space="preserve">که در سال 2007 توسعه یافت و </w:t>
      </w:r>
      <w:r w:rsidR="0028291E">
        <w:rPr>
          <w:lang w:bidi="fa-IR"/>
        </w:rPr>
        <w:t>RRS</w:t>
      </w:r>
      <w:r w:rsidR="0028291E">
        <w:rPr>
          <w:rFonts w:hint="cs"/>
          <w:rtl/>
          <w:lang w:bidi="fa-IR"/>
        </w:rPr>
        <w:t xml:space="preserve"> مردان که در سال 2008 منتشر شد، شامل ریسک فاکتورهای </w:t>
      </w:r>
      <w:r w:rsidR="0028291E">
        <w:rPr>
          <w:lang w:bidi="fa-IR"/>
        </w:rPr>
        <w:t>FRS</w:t>
      </w:r>
      <w:r w:rsidR="0028291E">
        <w:rPr>
          <w:rFonts w:hint="cs"/>
          <w:rtl/>
          <w:lang w:bidi="fa-IR"/>
        </w:rPr>
        <w:t xml:space="preserve"> و بیومارکرهای دیگر التهاب همچون پروتئین واکنشی </w:t>
      </w:r>
      <w:r w:rsidR="0028291E">
        <w:rPr>
          <w:lang w:bidi="fa-IR"/>
        </w:rPr>
        <w:t>C</w:t>
      </w:r>
      <w:r w:rsidR="0028291E">
        <w:rPr>
          <w:rFonts w:hint="cs"/>
          <w:rtl/>
          <w:lang w:bidi="fa-IR"/>
        </w:rPr>
        <w:t xml:space="preserve"> با حساسیت بالا </w:t>
      </w:r>
      <w:r w:rsidR="0028291E">
        <w:rPr>
          <w:lang w:bidi="fa-IR"/>
        </w:rPr>
        <w:t>(</w:t>
      </w:r>
      <w:proofErr w:type="spellStart"/>
      <w:r w:rsidR="0028291E">
        <w:rPr>
          <w:lang w:bidi="fa-IR"/>
        </w:rPr>
        <w:t>hsCRP</w:t>
      </w:r>
      <w:proofErr w:type="spellEnd"/>
      <w:r w:rsidR="0028291E">
        <w:rPr>
          <w:lang w:bidi="fa-IR"/>
        </w:rPr>
        <w:t>)</w:t>
      </w:r>
      <w:r w:rsidR="0028291E">
        <w:rPr>
          <w:rFonts w:hint="cs"/>
          <w:rtl/>
          <w:lang w:bidi="fa-IR"/>
        </w:rPr>
        <w:t xml:space="preserve"> بودند (215، 236).</w:t>
      </w:r>
    </w:p>
    <w:p w14:paraId="69A91EA4" w14:textId="00653E55" w:rsidR="0028291E" w:rsidRDefault="00004576">
      <w:pPr>
        <w:rPr>
          <w:rtl/>
          <w:lang w:bidi="fa-IR"/>
        </w:rPr>
      </w:pPr>
      <w:r>
        <w:rPr>
          <w:rFonts w:hint="cs"/>
          <w:rtl/>
          <w:lang w:bidi="fa-IR"/>
        </w:rPr>
        <w:t xml:space="preserve">یک ارزیابی تطبیقی مدل های </w:t>
      </w:r>
      <w:r>
        <w:rPr>
          <w:lang w:bidi="fa-IR"/>
        </w:rPr>
        <w:t>FRS</w:t>
      </w:r>
      <w:r>
        <w:rPr>
          <w:rFonts w:hint="cs"/>
          <w:rtl/>
          <w:lang w:bidi="fa-IR"/>
        </w:rPr>
        <w:t xml:space="preserve">، </w:t>
      </w:r>
      <w:r>
        <w:rPr>
          <w:lang w:bidi="fa-IR"/>
        </w:rPr>
        <w:t>ATP III</w:t>
      </w:r>
      <w:r>
        <w:rPr>
          <w:rFonts w:hint="cs"/>
          <w:rtl/>
          <w:lang w:bidi="fa-IR"/>
        </w:rPr>
        <w:t xml:space="preserve">، و </w:t>
      </w:r>
      <w:r>
        <w:rPr>
          <w:lang w:bidi="fa-IR"/>
        </w:rPr>
        <w:t>RRS</w:t>
      </w:r>
      <w:r>
        <w:rPr>
          <w:rFonts w:hint="cs"/>
          <w:rtl/>
          <w:lang w:bidi="fa-IR"/>
        </w:rPr>
        <w:t xml:space="preserve"> نشان می دهد که ریسک 10 سالة پیش بینی شده توسط مدل ها بسیار متفاوت است، که در توزیع شکل </w:t>
      </w:r>
      <w:r>
        <w:rPr>
          <w:lang w:bidi="fa-IR"/>
        </w:rPr>
        <w:t>1a</w:t>
      </w:r>
      <w:r>
        <w:rPr>
          <w:rFonts w:hint="cs"/>
          <w:rtl/>
          <w:lang w:bidi="fa-IR"/>
        </w:rPr>
        <w:t xml:space="preserve"> نیز دیده می شود (250). </w:t>
      </w:r>
      <w:r w:rsidR="00094D3A">
        <w:rPr>
          <w:rFonts w:hint="cs"/>
          <w:rtl/>
          <w:lang w:bidi="fa-IR"/>
        </w:rPr>
        <w:t xml:space="preserve">در ریسک بیشتر یا مساوی 20%، ریسک های 10 سالة </w:t>
      </w:r>
      <w:r w:rsidR="00094D3A">
        <w:rPr>
          <w:rFonts w:hint="cs"/>
          <w:rtl/>
          <w:lang w:bidi="fa-IR"/>
        </w:rPr>
        <w:lastRenderedPageBreak/>
        <w:t xml:space="preserve">مدل های </w:t>
      </w:r>
      <w:r w:rsidR="00094D3A">
        <w:rPr>
          <w:lang w:bidi="fa-IR"/>
        </w:rPr>
        <w:t>CVD</w:t>
      </w:r>
      <w:r w:rsidR="00094D3A">
        <w:rPr>
          <w:rFonts w:hint="cs"/>
          <w:rtl/>
          <w:lang w:bidi="fa-IR"/>
        </w:rPr>
        <w:t xml:space="preserve">، </w:t>
      </w:r>
      <w:r w:rsidR="00094D3A">
        <w:rPr>
          <w:lang w:bidi="fa-IR"/>
        </w:rPr>
        <w:t>ATP III</w:t>
      </w:r>
      <w:r w:rsidR="00094D3A">
        <w:rPr>
          <w:rFonts w:hint="cs"/>
          <w:rtl/>
          <w:lang w:bidi="fa-IR"/>
        </w:rPr>
        <w:t xml:space="preserve">، </w:t>
      </w:r>
      <w:r w:rsidR="00094D3A">
        <w:rPr>
          <w:lang w:bidi="fa-IR"/>
        </w:rPr>
        <w:t>RRS</w:t>
      </w:r>
      <w:r w:rsidR="00094D3A">
        <w:rPr>
          <w:rFonts w:hint="cs"/>
          <w:rtl/>
          <w:lang w:bidi="fa-IR"/>
        </w:rPr>
        <w:t xml:space="preserve">، و </w:t>
      </w:r>
      <w:r w:rsidR="00094D3A">
        <w:rPr>
          <w:lang w:bidi="fa-IR"/>
        </w:rPr>
        <w:t>FRS</w:t>
      </w:r>
      <w:r w:rsidR="00094D3A">
        <w:rPr>
          <w:rFonts w:hint="cs"/>
          <w:rtl/>
          <w:lang w:bidi="fa-IR"/>
        </w:rPr>
        <w:t xml:space="preserve"> به ترتیب 3.8%، 4.6%، و 10.9% (شکل </w:t>
      </w:r>
      <w:r w:rsidR="00094D3A">
        <w:rPr>
          <w:lang w:bidi="fa-IR"/>
        </w:rPr>
        <w:t>1b</w:t>
      </w:r>
      <w:r w:rsidR="00094D3A">
        <w:rPr>
          <w:rFonts w:hint="cs"/>
          <w:rtl/>
          <w:lang w:bidi="fa-IR"/>
        </w:rPr>
        <w:t xml:space="preserve">) بودند، در حالی که در ریسک بیشتر یا مساوی 10%، ریسک 10 سالة برآوردشده بالاتر بود (به ترتیب 5.5%، 10.3%، 41.1%؛ شکل </w:t>
      </w:r>
      <w:r w:rsidR="00094D3A">
        <w:rPr>
          <w:lang w:bidi="fa-IR"/>
        </w:rPr>
        <w:t>1b</w:t>
      </w:r>
      <w:r w:rsidR="00094D3A">
        <w:rPr>
          <w:rFonts w:hint="cs"/>
          <w:rtl/>
          <w:lang w:bidi="fa-IR"/>
        </w:rPr>
        <w:t>) (250).</w:t>
      </w:r>
    </w:p>
    <w:p w14:paraId="041B0F57" w14:textId="77777777" w:rsidR="0004563C" w:rsidRDefault="0004563C" w:rsidP="0004563C">
      <w:pPr>
        <w:keepNext/>
      </w:pPr>
      <w:r w:rsidRPr="00EE3F50">
        <w:rPr>
          <w:rFonts w:cs="Times New Roman"/>
          <w:noProof/>
          <w:sz w:val="24"/>
        </w:rPr>
        <w:drawing>
          <wp:inline distT="0" distB="0" distL="0" distR="0" wp14:anchorId="4C60D6FF" wp14:editId="3A24C230">
            <wp:extent cx="4609465" cy="33712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9465" cy="3371215"/>
                    </a:xfrm>
                    <a:prstGeom prst="rect">
                      <a:avLst/>
                    </a:prstGeom>
                    <a:noFill/>
                  </pic:spPr>
                </pic:pic>
              </a:graphicData>
            </a:graphic>
          </wp:inline>
        </w:drawing>
      </w:r>
    </w:p>
    <w:p w14:paraId="4714E233" w14:textId="07CC4569" w:rsidR="00094D3A" w:rsidRDefault="0004563C" w:rsidP="0004563C">
      <w:pPr>
        <w:pStyle w:val="Caption"/>
        <w:rPr>
          <w:rtl/>
          <w:lang w:bidi="fa-IR"/>
        </w:rPr>
      </w:pPr>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E941D1">
        <w:rPr>
          <w:noProof/>
          <w:rtl/>
        </w:rPr>
        <w:t>1</w:t>
      </w:r>
      <w:r>
        <w:rPr>
          <w:rtl/>
        </w:rPr>
        <w:fldChar w:fldCharType="end"/>
      </w:r>
      <w:r>
        <w:rPr>
          <w:rFonts w:hint="cs"/>
          <w:rtl/>
        </w:rPr>
        <w:t xml:space="preserve"> مقایسة مدل های </w:t>
      </w:r>
      <w:r>
        <w:t>FRS</w:t>
      </w:r>
      <w:r>
        <w:rPr>
          <w:rFonts w:hint="cs"/>
          <w:rtl/>
          <w:lang w:bidi="fa-IR"/>
        </w:rPr>
        <w:t xml:space="preserve"> و </w:t>
      </w:r>
      <w:r>
        <w:rPr>
          <w:lang w:bidi="fa-IR"/>
        </w:rPr>
        <w:t>RRS</w:t>
      </w:r>
      <w:r>
        <w:rPr>
          <w:rFonts w:hint="cs"/>
          <w:rtl/>
          <w:lang w:bidi="fa-IR"/>
        </w:rPr>
        <w:t xml:space="preserve"> (250).</w:t>
      </w:r>
    </w:p>
    <w:p w14:paraId="32464F9C" w14:textId="155CAE34" w:rsidR="0004563C" w:rsidRDefault="00A3136B" w:rsidP="0004563C">
      <w:pPr>
        <w:rPr>
          <w:rtl/>
          <w:lang w:bidi="fa-IR"/>
        </w:rPr>
      </w:pPr>
      <w:r>
        <w:rPr>
          <w:rFonts w:hint="cs"/>
          <w:rtl/>
          <w:lang w:bidi="fa-IR"/>
        </w:rPr>
        <w:t>سه مدل ریسک شکل 1 که از مارکرهای متفاوتی استفاده می کنند</w:t>
      </w:r>
      <w:r w:rsidR="0085644A">
        <w:rPr>
          <w:rFonts w:hint="cs"/>
          <w:rtl/>
          <w:lang w:bidi="fa-IR"/>
        </w:rPr>
        <w:t xml:space="preserve">، ریسک 10 سالة ایجاد </w:t>
      </w:r>
      <w:r w:rsidR="0085644A">
        <w:rPr>
          <w:lang w:bidi="fa-IR"/>
        </w:rPr>
        <w:t>CDV</w:t>
      </w:r>
      <w:r w:rsidR="0085644A">
        <w:rPr>
          <w:rFonts w:hint="cs"/>
          <w:rtl/>
          <w:lang w:bidi="fa-IR"/>
        </w:rPr>
        <w:t xml:space="preserve"> </w:t>
      </w:r>
      <w:r w:rsidR="00631AFB">
        <w:rPr>
          <w:rFonts w:hint="cs"/>
          <w:rtl/>
          <w:lang w:bidi="fa-IR"/>
        </w:rPr>
        <w:t>متناقضی را نشان می دهند، که منجر به پیشرفت محاسبة ریسک شد (پس از ریسک ارزیابی سیستماتیک ریسک کرونری اروپا</w:t>
      </w:r>
      <w:r w:rsidR="00583A7C">
        <w:rPr>
          <w:rFonts w:hint="cs"/>
          <w:rtl/>
          <w:lang w:bidi="fa-IR"/>
        </w:rPr>
        <w:t>یی</w:t>
      </w:r>
      <w:r w:rsidR="00631AFB">
        <w:rPr>
          <w:rFonts w:hint="cs"/>
          <w:rtl/>
          <w:lang w:bidi="fa-IR"/>
        </w:rPr>
        <w:t xml:space="preserve"> </w:t>
      </w:r>
      <w:r w:rsidR="00631AFB">
        <w:rPr>
          <w:lang w:bidi="fa-IR"/>
        </w:rPr>
        <w:t>(SCORE)</w:t>
      </w:r>
      <w:r w:rsidR="00631AFB">
        <w:rPr>
          <w:rFonts w:hint="cs"/>
          <w:rtl/>
          <w:lang w:bidi="fa-IR"/>
        </w:rPr>
        <w:t xml:space="preserve"> بحث می شود).</w:t>
      </w:r>
    </w:p>
    <w:p w14:paraId="7B8CC271" w14:textId="215CE824" w:rsidR="00631AFB" w:rsidRDefault="00165126" w:rsidP="0004563C">
      <w:pPr>
        <w:rPr>
          <w:b/>
          <w:bCs/>
          <w:rtl/>
          <w:lang w:bidi="fa-IR"/>
        </w:rPr>
      </w:pPr>
      <w:r>
        <w:rPr>
          <w:rFonts w:hint="cs"/>
          <w:b/>
          <w:bCs/>
          <w:rtl/>
          <w:lang w:bidi="fa-IR"/>
        </w:rPr>
        <w:t xml:space="preserve">2.3.3 ریسک </w:t>
      </w:r>
      <w:r>
        <w:rPr>
          <w:b/>
          <w:bCs/>
          <w:lang w:bidi="fa-IR"/>
        </w:rPr>
        <w:t>SCORE</w:t>
      </w:r>
      <w:r>
        <w:rPr>
          <w:rFonts w:hint="cs"/>
          <w:b/>
          <w:bCs/>
          <w:rtl/>
          <w:lang w:bidi="fa-IR"/>
        </w:rPr>
        <w:t xml:space="preserve"> اروپا</w:t>
      </w:r>
      <w:r w:rsidR="00764FFD">
        <w:rPr>
          <w:rFonts w:hint="cs"/>
          <w:b/>
          <w:bCs/>
          <w:rtl/>
          <w:lang w:bidi="fa-IR"/>
        </w:rPr>
        <w:t>یی</w:t>
      </w:r>
    </w:p>
    <w:p w14:paraId="3782F620" w14:textId="5815A945" w:rsidR="00165126" w:rsidRDefault="00FB7940" w:rsidP="0004563C">
      <w:pPr>
        <w:rPr>
          <w:rtl/>
          <w:lang w:bidi="fa-IR"/>
        </w:rPr>
      </w:pPr>
      <w:r>
        <w:rPr>
          <w:rFonts w:hint="cs"/>
          <w:rtl/>
          <w:lang w:bidi="fa-IR"/>
        </w:rPr>
        <w:t xml:space="preserve">پروژة </w:t>
      </w:r>
      <w:r>
        <w:rPr>
          <w:lang w:bidi="fa-IR"/>
        </w:rPr>
        <w:t>SCORE</w:t>
      </w:r>
      <w:r>
        <w:rPr>
          <w:rFonts w:hint="cs"/>
          <w:rtl/>
          <w:lang w:bidi="fa-IR"/>
        </w:rPr>
        <w:t xml:space="preserve"> برای توسعة یک سیستم نمره دهی ریسک برای استفاده در مدیریت ریسک </w:t>
      </w:r>
      <w:r>
        <w:rPr>
          <w:lang w:bidi="fa-IR"/>
        </w:rPr>
        <w:t>CVD</w:t>
      </w:r>
      <w:r>
        <w:rPr>
          <w:rFonts w:hint="cs"/>
          <w:rtl/>
          <w:lang w:bidi="fa-IR"/>
        </w:rPr>
        <w:t xml:space="preserve"> در شیوه های بالینی اروپایی </w:t>
      </w:r>
      <w:r w:rsidR="00CF0BF7">
        <w:rPr>
          <w:rFonts w:hint="cs"/>
          <w:rtl/>
          <w:lang w:bidi="fa-IR"/>
        </w:rPr>
        <w:t xml:space="preserve">آغاز شد (251). سیستم برآورد ریسک </w:t>
      </w:r>
      <w:r w:rsidR="00CF0BF7">
        <w:rPr>
          <w:lang w:bidi="fa-IR"/>
        </w:rPr>
        <w:t>SCORE</w:t>
      </w:r>
      <w:r w:rsidR="00CF0BF7">
        <w:rPr>
          <w:rFonts w:hint="cs"/>
          <w:rtl/>
          <w:lang w:bidi="fa-IR"/>
        </w:rPr>
        <w:t xml:space="preserve"> برآوردی مستقیم از ریسک کل و ریسک مرگ ناشی از </w:t>
      </w:r>
      <w:r w:rsidR="00CF0BF7">
        <w:rPr>
          <w:lang w:bidi="fa-IR"/>
        </w:rPr>
        <w:t>CVD</w:t>
      </w:r>
      <w:r w:rsidR="00CF0BF7">
        <w:rPr>
          <w:rFonts w:hint="cs"/>
          <w:rtl/>
          <w:lang w:bidi="fa-IR"/>
        </w:rPr>
        <w:t xml:space="preserve"> در قالبی مناسب برای محدودیت های شیوه های بالینی ارائه کرد، و پروژه مجموعه ای از مجموعه داده های 12 مطالعة کوهورت اروپایی را </w:t>
      </w:r>
      <w:r w:rsidR="0049195E">
        <w:rPr>
          <w:rFonts w:hint="cs"/>
          <w:rtl/>
          <w:lang w:bidi="fa-IR"/>
        </w:rPr>
        <w:t xml:space="preserve">گردآوری کرد که عمدتا در شرایط جمعیت عمومی انجام شده بودند و 205178 نفر را ارزیابی کرده بودند (88080 زن، 117098 مرد)، و از 2.7 میلیون نفر-سال فالوآپ و 7934 مرگ </w:t>
      </w:r>
      <w:r w:rsidR="0049195E">
        <w:rPr>
          <w:lang w:bidi="fa-IR"/>
        </w:rPr>
        <w:t>CVD</w:t>
      </w:r>
      <w:r w:rsidR="0049195E">
        <w:rPr>
          <w:rFonts w:hint="cs"/>
          <w:rtl/>
          <w:lang w:bidi="fa-IR"/>
        </w:rPr>
        <w:t xml:space="preserve"> تشکیل شده بودند، که از این بین 5652 مورد مرگ به دلیل بیماری </w:t>
      </w:r>
      <w:r w:rsidR="00E174E8">
        <w:rPr>
          <w:rFonts w:hint="cs"/>
          <w:rtl/>
          <w:lang w:bidi="fa-IR"/>
        </w:rPr>
        <w:t xml:space="preserve">قلبی کرونری بودند. </w:t>
      </w:r>
      <w:r w:rsidR="006D1765">
        <w:rPr>
          <w:rFonts w:hint="cs"/>
          <w:rtl/>
          <w:lang w:bidi="fa-IR"/>
        </w:rPr>
        <w:t xml:space="preserve">ریسک 10 سالة بیماری </w:t>
      </w:r>
      <w:r w:rsidR="006D1765">
        <w:rPr>
          <w:lang w:bidi="fa-IR"/>
        </w:rPr>
        <w:t>CVD</w:t>
      </w:r>
      <w:r w:rsidR="006D1765">
        <w:rPr>
          <w:rFonts w:hint="cs"/>
          <w:rtl/>
          <w:lang w:bidi="fa-IR"/>
        </w:rPr>
        <w:t xml:space="preserve"> مرگبار با استفاده از مدل </w:t>
      </w:r>
      <w:r w:rsidR="006D1765">
        <w:rPr>
          <w:lang w:bidi="fa-IR"/>
        </w:rPr>
        <w:t>Weibull</w:t>
      </w:r>
      <w:r w:rsidR="006D1765">
        <w:rPr>
          <w:rFonts w:hint="cs"/>
          <w:rtl/>
          <w:lang w:bidi="fa-IR"/>
        </w:rPr>
        <w:t xml:space="preserve"> محاسبه شد که در آن سن به عنوان معیاری از زمان قرار گرفتن در معرض ریسک و نه ریسک فاکتور استفاده می شد، در حالی که معادلات برآورد جداگانه ای برای ارزیابی بیماری قلبی کرونری و بیماری قلبی غیر کرونری و مناطق پر ریسک و کم ریسک اروپا استفاده شدند. </w:t>
      </w:r>
      <w:r w:rsidR="007F7D85">
        <w:rPr>
          <w:rFonts w:hint="cs"/>
          <w:rtl/>
          <w:lang w:bidi="fa-IR"/>
        </w:rPr>
        <w:t xml:space="preserve">دو مدل برآورد موازی توسعه یافتند، که یکی مبتنی بر کلسترول کل و دیگری مبتنی بر نسبت کلسترول کل به کلسترول </w:t>
      </w:r>
      <w:r w:rsidR="007F7D85">
        <w:rPr>
          <w:lang w:bidi="fa-IR"/>
        </w:rPr>
        <w:t>HDL</w:t>
      </w:r>
      <w:r w:rsidR="007F7D85">
        <w:rPr>
          <w:rFonts w:hint="cs"/>
          <w:rtl/>
          <w:lang w:bidi="fa-IR"/>
        </w:rPr>
        <w:t xml:space="preserve"> </w:t>
      </w:r>
      <w:r w:rsidR="007F7D85">
        <w:rPr>
          <w:lang w:bidi="fa-IR"/>
        </w:rPr>
        <w:lastRenderedPageBreak/>
        <w:t>(TC/HDL)</w:t>
      </w:r>
      <w:r w:rsidR="007F7D85">
        <w:rPr>
          <w:rFonts w:hint="cs"/>
          <w:rtl/>
          <w:lang w:bidi="fa-IR"/>
        </w:rPr>
        <w:t xml:space="preserve"> بود، و برآوردهای ریسک به صورت گرافیکی در چارت های ریسک ساده نمایش داده می شدند، و ارزش پیش بینی چارت های ریسک با استفاده از پیش بینی ها برای افراد 45 تا 64 ساله بررسی شدند.</w:t>
      </w:r>
    </w:p>
    <w:p w14:paraId="520B971A" w14:textId="1E450658" w:rsidR="007F7D85" w:rsidRDefault="00812027" w:rsidP="0004563C">
      <w:pPr>
        <w:rPr>
          <w:b/>
          <w:bCs/>
          <w:rtl/>
          <w:lang w:bidi="fa-IR"/>
        </w:rPr>
      </w:pPr>
      <w:r>
        <w:rPr>
          <w:rFonts w:hint="cs"/>
          <w:b/>
          <w:bCs/>
          <w:rtl/>
          <w:lang w:bidi="fa-IR"/>
        </w:rPr>
        <w:t xml:space="preserve">2.3.4 محاسبه گرهای ریسک 10 سالة </w:t>
      </w:r>
      <w:r>
        <w:rPr>
          <w:b/>
          <w:bCs/>
          <w:lang w:bidi="fa-IR"/>
        </w:rPr>
        <w:t>CVD</w:t>
      </w:r>
    </w:p>
    <w:p w14:paraId="6C4F42C7" w14:textId="2D214675" w:rsidR="00C300EB" w:rsidRDefault="00351B54" w:rsidP="00C300EB">
      <w:pPr>
        <w:rPr>
          <w:rtl/>
          <w:lang w:bidi="fa-IR"/>
        </w:rPr>
      </w:pPr>
      <w:r>
        <w:rPr>
          <w:rFonts w:hint="cs"/>
          <w:rtl/>
          <w:lang w:bidi="fa-IR"/>
        </w:rPr>
        <w:t xml:space="preserve">ریسک، در زمینة محاسبه گرهای ریسک، ریسک تجمعی ایجاد یک بیماری در طول بقیة عمر یک فرد (مثلا بلندمدت، کوتاه مدت) را نشان می دهد. </w:t>
      </w:r>
      <w:r w:rsidR="009D4E93">
        <w:rPr>
          <w:rFonts w:hint="cs"/>
          <w:rtl/>
          <w:lang w:bidi="fa-IR"/>
        </w:rPr>
        <w:t xml:space="preserve">اطلاع داشتن از برآوردهای ریسک </w:t>
      </w:r>
      <w:r w:rsidR="009D4E93">
        <w:rPr>
          <w:lang w:bidi="fa-IR"/>
        </w:rPr>
        <w:t>CVD</w:t>
      </w:r>
      <w:r w:rsidR="009D4E93">
        <w:rPr>
          <w:rFonts w:hint="cs"/>
          <w:rtl/>
          <w:lang w:bidi="fa-IR"/>
        </w:rPr>
        <w:t xml:space="preserve"> ممکن است به خصوص برای بیمارانی که علیرغم داشتن ریسک فاکتورهای معنی دار </w:t>
      </w:r>
      <w:r w:rsidR="009D4E93">
        <w:rPr>
          <w:lang w:bidi="fa-IR"/>
        </w:rPr>
        <w:t>CVD</w:t>
      </w:r>
      <w:r w:rsidR="009D4E93">
        <w:rPr>
          <w:rFonts w:hint="cs"/>
          <w:rtl/>
          <w:lang w:bidi="fa-IR"/>
        </w:rPr>
        <w:t xml:space="preserve"> ریسک های کوتاه مدت کمی دارند سودمند است، اگرچه برآوردهای ریسک برای ارزیابی بار بیماری در </w:t>
      </w:r>
      <w:r w:rsidR="001627A9">
        <w:rPr>
          <w:rFonts w:hint="cs"/>
          <w:rtl/>
          <w:lang w:bidi="fa-IR"/>
        </w:rPr>
        <w:t xml:space="preserve">یک جمعیت، مقایسة ریسک های مطلق بیماری های شایع، و پیاده سازی اقدامات بالینی و سلامت عمومی نیز استفاده می شوند. </w:t>
      </w:r>
      <w:r w:rsidR="00342110">
        <w:rPr>
          <w:rFonts w:hint="cs"/>
          <w:rtl/>
          <w:lang w:bidi="fa-IR"/>
        </w:rPr>
        <w:t xml:space="preserve">با توجه به این که پیش بینی ریسک فقط برای باقیماندة عمر معنی دارد، کوهورت های </w:t>
      </w:r>
      <w:r w:rsidR="00342110">
        <w:rPr>
          <w:lang w:bidi="fa-IR"/>
        </w:rPr>
        <w:t>FHS</w:t>
      </w:r>
      <w:r w:rsidR="00342110">
        <w:rPr>
          <w:rFonts w:hint="cs"/>
          <w:rtl/>
          <w:lang w:bidi="fa-IR"/>
        </w:rPr>
        <w:t xml:space="preserve"> </w:t>
      </w:r>
      <w:r w:rsidR="009B2BDC">
        <w:rPr>
          <w:rFonts w:hint="cs"/>
          <w:rtl/>
          <w:lang w:bidi="fa-IR"/>
        </w:rPr>
        <w:t xml:space="preserve">نه تنها برای توسعة یک سیستم نمره دهی برای برآورد ریسک کوتاه مدت (10 ساله)، بلکه همچنین برای برآورد ریسک بلندمدت ایجاد </w:t>
      </w:r>
      <w:r w:rsidR="009B2BDC">
        <w:rPr>
          <w:lang w:bidi="fa-IR"/>
        </w:rPr>
        <w:t>CVD</w:t>
      </w:r>
      <w:r w:rsidR="009B2BDC">
        <w:rPr>
          <w:rFonts w:hint="cs"/>
          <w:rtl/>
          <w:lang w:bidi="fa-IR"/>
        </w:rPr>
        <w:t xml:space="preserve"> نیز استفاده شدند، که هر دو آن ها </w:t>
      </w:r>
      <w:r w:rsidR="00C300EB">
        <w:rPr>
          <w:rFonts w:hint="cs"/>
          <w:rtl/>
          <w:lang w:bidi="fa-IR"/>
        </w:rPr>
        <w:t>قابلیت پیاده سازی در سلامت عمومی دارند.</w:t>
      </w:r>
    </w:p>
    <w:p w14:paraId="7098CEFE" w14:textId="3A962C85" w:rsidR="00C300EB" w:rsidRDefault="0018089A" w:rsidP="00C300EB">
      <w:pPr>
        <w:rPr>
          <w:rtl/>
          <w:lang w:bidi="fa-IR"/>
        </w:rPr>
      </w:pPr>
      <w:r>
        <w:rPr>
          <w:rFonts w:hint="cs"/>
          <w:rtl/>
          <w:lang w:bidi="fa-IR"/>
        </w:rPr>
        <w:t xml:space="preserve">در ارزیابی ریسک </w:t>
      </w:r>
      <w:r>
        <w:rPr>
          <w:lang w:bidi="fa-IR"/>
        </w:rPr>
        <w:t>CVD</w:t>
      </w:r>
      <w:r>
        <w:rPr>
          <w:rFonts w:hint="cs"/>
          <w:rtl/>
          <w:lang w:bidi="fa-IR"/>
        </w:rPr>
        <w:t xml:space="preserve"> فرامینگهام، همة افراد </w:t>
      </w:r>
      <w:r>
        <w:rPr>
          <w:lang w:bidi="fa-IR"/>
        </w:rPr>
        <w:t>FHS</w:t>
      </w:r>
      <w:r>
        <w:rPr>
          <w:rFonts w:hint="cs"/>
          <w:rtl/>
          <w:lang w:bidi="fa-IR"/>
        </w:rPr>
        <w:t xml:space="preserve"> </w:t>
      </w:r>
      <w:r w:rsidR="00456FDB">
        <w:rPr>
          <w:rFonts w:hint="cs"/>
          <w:rtl/>
          <w:lang w:bidi="fa-IR"/>
        </w:rPr>
        <w:t>در میان</w:t>
      </w:r>
      <w:r>
        <w:rPr>
          <w:rFonts w:hint="cs"/>
          <w:rtl/>
          <w:lang w:bidi="fa-IR"/>
        </w:rPr>
        <w:t xml:space="preserve"> سال های 1971 تا 1996 که فاقد </w:t>
      </w:r>
      <w:r>
        <w:rPr>
          <w:lang w:bidi="fa-IR"/>
        </w:rPr>
        <w:t>CHD</w:t>
      </w:r>
      <w:r>
        <w:rPr>
          <w:rFonts w:hint="cs"/>
          <w:rtl/>
          <w:lang w:bidi="fa-IR"/>
        </w:rPr>
        <w:t xml:space="preserve"> بودند </w:t>
      </w:r>
      <w:r w:rsidR="00F94265">
        <w:rPr>
          <w:rFonts w:hint="cs"/>
          <w:rtl/>
          <w:lang w:bidi="fa-IR"/>
        </w:rPr>
        <w:t>گنجانده و</w:t>
      </w:r>
      <w:r w:rsidR="00E455DC">
        <w:rPr>
          <w:rFonts w:hint="cs"/>
          <w:rtl/>
          <w:lang w:bidi="fa-IR"/>
        </w:rPr>
        <w:t xml:space="preserve"> در</w:t>
      </w:r>
      <w:r w:rsidR="00F94265">
        <w:rPr>
          <w:rFonts w:hint="cs"/>
          <w:rtl/>
          <w:lang w:bidi="fa-IR"/>
        </w:rPr>
        <w:t xml:space="preserve"> </w:t>
      </w:r>
      <w:r w:rsidR="00E455DC">
        <w:rPr>
          <w:rFonts w:hint="cs"/>
          <w:rtl/>
          <w:lang w:bidi="fa-IR"/>
        </w:rPr>
        <w:t xml:space="preserve">سهک های اختصاصی جنسیت و سن </w:t>
      </w:r>
      <w:r w:rsidR="00E455DC">
        <w:rPr>
          <w:lang w:bidi="fa-IR"/>
        </w:rPr>
        <w:t>FRS</w:t>
      </w:r>
      <w:r w:rsidR="00E455DC">
        <w:rPr>
          <w:rFonts w:hint="cs"/>
          <w:rtl/>
          <w:lang w:bidi="fa-IR"/>
        </w:rPr>
        <w:t xml:space="preserve"> طبقه بندی شدند، در حالی که ریسک </w:t>
      </w:r>
      <w:r w:rsidR="00E455DC">
        <w:rPr>
          <w:lang w:bidi="fa-IR"/>
        </w:rPr>
        <w:t>CVD</w:t>
      </w:r>
      <w:r w:rsidR="00E455DC">
        <w:rPr>
          <w:rFonts w:hint="cs"/>
          <w:rtl/>
          <w:lang w:bidi="fa-IR"/>
        </w:rPr>
        <w:t xml:space="preserve"> برآورد شد (252). </w:t>
      </w:r>
      <w:r w:rsidR="008E194B">
        <w:rPr>
          <w:rFonts w:hint="cs"/>
          <w:rtl/>
          <w:lang w:bidi="fa-IR"/>
        </w:rPr>
        <w:t xml:space="preserve">از 2716 رد و 3500 زن، 939 نفر دچار </w:t>
      </w:r>
      <w:r w:rsidR="008E194B">
        <w:rPr>
          <w:lang w:bidi="fa-IR"/>
        </w:rPr>
        <w:t>CVD</w:t>
      </w:r>
      <w:r w:rsidR="008E194B">
        <w:rPr>
          <w:rFonts w:hint="cs"/>
          <w:rtl/>
          <w:lang w:bidi="fa-IR"/>
        </w:rPr>
        <w:t xml:space="preserve"> شدند و 1363 نفر بدون </w:t>
      </w:r>
      <w:r w:rsidR="008E194B">
        <w:rPr>
          <w:lang w:bidi="fa-IR"/>
        </w:rPr>
        <w:t>CVD</w:t>
      </w:r>
      <w:r w:rsidR="008E194B">
        <w:rPr>
          <w:rFonts w:hint="cs"/>
          <w:rtl/>
          <w:lang w:bidi="fa-IR"/>
        </w:rPr>
        <w:t xml:space="preserve"> جان خود را از دست دادند. آنالیز ریسک براساس مقدار کلسترول و </w:t>
      </w:r>
      <w:r w:rsidR="000C0FC5">
        <w:rPr>
          <w:rFonts w:hint="cs"/>
          <w:rtl/>
          <w:lang w:bidi="fa-IR"/>
        </w:rPr>
        <w:t xml:space="preserve">تغییر کلسترول، ریسک </w:t>
      </w:r>
      <w:r w:rsidR="000C0FC5">
        <w:rPr>
          <w:lang w:bidi="fa-IR"/>
        </w:rPr>
        <w:t>CHD</w:t>
      </w:r>
      <w:r w:rsidR="000C0FC5">
        <w:rPr>
          <w:rFonts w:hint="cs"/>
          <w:rtl/>
          <w:lang w:bidi="fa-IR"/>
        </w:rPr>
        <w:t xml:space="preserve"> از سن 40 سالگی تا 80 سالگی برای مردان یا زنان دارای مقدار کلسترول کل کمتر از 200 میلی گرم بر دسی لیتر (کمتر از 5.20 میلی مول بر لیتر)، 200 تا 239 میلی گرم بر دسی لیتر (5.20 تا 6.19 میلی مول بر لیتر)، و 240 میلی گرم بر دسی لیتر یا بیشتر (بیش از 6.20 میلی مول بر لیتر) </w:t>
      </w:r>
      <w:r w:rsidR="00291599">
        <w:rPr>
          <w:rFonts w:hint="cs"/>
          <w:rtl/>
          <w:lang w:bidi="fa-IR"/>
        </w:rPr>
        <w:t xml:space="preserve">را ارزیابی کرد. در 40 سالگی، در سهک های نمرة ریسک (1، 2، و 3) </w:t>
      </w:r>
      <w:r w:rsidR="006E37FB">
        <w:rPr>
          <w:rFonts w:hint="cs"/>
          <w:rtl/>
          <w:lang w:bidi="fa-IR"/>
        </w:rPr>
        <w:t xml:space="preserve">ریسک </w:t>
      </w:r>
      <w:r w:rsidR="006E37FB">
        <w:rPr>
          <w:lang w:bidi="fa-IR"/>
        </w:rPr>
        <w:t>CHD</w:t>
      </w:r>
      <w:r w:rsidR="006E37FB">
        <w:rPr>
          <w:rFonts w:hint="cs"/>
          <w:rtl/>
          <w:lang w:bidi="fa-IR"/>
        </w:rPr>
        <w:t xml:space="preserve"> به ترتیب 38.4%، 41.7%، و 50.7% برای مردان و 12.2%، 25.4%، و 33.2% برای زنان بود. </w:t>
      </w:r>
      <w:r w:rsidR="0061217D">
        <w:rPr>
          <w:rFonts w:hint="cs"/>
          <w:rtl/>
          <w:lang w:bidi="fa-IR"/>
        </w:rPr>
        <w:t xml:space="preserve">در 80 سالگی، ریسک ها در مردان به ترتیب 16.4%، 17.4%، و 38.8% و برای زنان به ترتیب 12.8%، 22.4%، و 27.4% بودند (212). ریسک ها </w:t>
      </w:r>
      <w:r w:rsidR="00726FE2">
        <w:rPr>
          <w:rFonts w:hint="cs"/>
          <w:rtl/>
          <w:lang w:bidi="fa-IR"/>
        </w:rPr>
        <w:t xml:space="preserve">تضاد شارپی با ریسک های بلندمدت نیز داشتند، و در 40 سالگی، ریسک تجمعی 10 سالة </w:t>
      </w:r>
      <w:r w:rsidR="00726FE2">
        <w:rPr>
          <w:lang w:bidi="fa-IR"/>
        </w:rPr>
        <w:t>CHD</w:t>
      </w:r>
      <w:r w:rsidR="00726FE2">
        <w:rPr>
          <w:rFonts w:hint="cs"/>
          <w:rtl/>
          <w:lang w:bidi="fa-IR"/>
        </w:rPr>
        <w:t xml:space="preserve"> برای مردان به ترتیب 3%، 5%، و 12%، و برای زنان به ترتیب 1%، 2%، و 5% بود، که نشان می دهد با افزایش مقدار کلسترول کل هم در زنان و هم در مردان در تمام سنین، ریسک </w:t>
      </w:r>
      <w:r w:rsidR="00726FE2">
        <w:rPr>
          <w:lang w:bidi="fa-IR"/>
        </w:rPr>
        <w:t>CHD</w:t>
      </w:r>
      <w:r w:rsidR="00726FE2">
        <w:rPr>
          <w:rFonts w:hint="cs"/>
          <w:rtl/>
          <w:lang w:bidi="fa-IR"/>
        </w:rPr>
        <w:t xml:space="preserve"> افزایش شارپ دارد (212).</w:t>
      </w:r>
    </w:p>
    <w:p w14:paraId="2E36BCF7" w14:textId="78F2E6E6" w:rsidR="00726FE2" w:rsidRDefault="00D740A5" w:rsidP="00C300EB">
      <w:pPr>
        <w:rPr>
          <w:rtl/>
          <w:lang w:bidi="fa-IR"/>
        </w:rPr>
      </w:pPr>
      <w:r>
        <w:rPr>
          <w:rFonts w:hint="cs"/>
          <w:rtl/>
          <w:lang w:bidi="fa-IR"/>
        </w:rPr>
        <w:t xml:space="preserve">نمرة ریسک طببقه بندی شدة </w:t>
      </w:r>
      <w:r>
        <w:rPr>
          <w:lang w:bidi="fa-IR"/>
        </w:rPr>
        <w:t>FRS</w:t>
      </w:r>
      <w:r>
        <w:rPr>
          <w:rFonts w:hint="cs"/>
          <w:rtl/>
          <w:lang w:bidi="fa-IR"/>
        </w:rPr>
        <w:t xml:space="preserve"> برای زنان و مردان در همظ سنین در مردان جوان عملکرد ضعیف تری داشت، اگرچه برآورد ریسک در سنین بالاتر و با نزدیک شدن امید به زندگی به 10 سال بهبود یافت. </w:t>
      </w:r>
      <w:r w:rsidR="00EE4E9C">
        <w:rPr>
          <w:rFonts w:hint="cs"/>
          <w:rtl/>
          <w:lang w:bidi="fa-IR"/>
        </w:rPr>
        <w:t xml:space="preserve">داده هایی مانند این داده ها از نقش مهم غربالگری کلسترول در بیماران جوان حمایت می کنند و ممکن است به هدف قرار دادن بیماران پر ریسک با اصلاح سبک زندگی یا درمان دارویی کمک کنند. بنابراین، مدل پیش بینی ریسک 10 سالة </w:t>
      </w:r>
      <w:r w:rsidR="00EE4E9C">
        <w:rPr>
          <w:lang w:bidi="fa-IR"/>
        </w:rPr>
        <w:t>CHD</w:t>
      </w:r>
      <w:r w:rsidR="00EE4E9C">
        <w:rPr>
          <w:rFonts w:hint="cs"/>
          <w:rtl/>
          <w:lang w:bidi="fa-IR"/>
        </w:rPr>
        <w:t xml:space="preserve"> فرامینگهام </w:t>
      </w:r>
      <w:r w:rsidR="00F82A87">
        <w:rPr>
          <w:rFonts w:hint="cs"/>
          <w:rtl/>
          <w:lang w:bidi="fa-IR"/>
        </w:rPr>
        <w:t xml:space="preserve">ریسک کوتاه مدت برای زنان و مردان </w:t>
      </w:r>
      <w:r w:rsidR="00F82A87">
        <w:rPr>
          <w:rFonts w:hint="cs"/>
          <w:rtl/>
          <w:lang w:bidi="fa-IR"/>
        </w:rPr>
        <w:lastRenderedPageBreak/>
        <w:t xml:space="preserve">را به خوبی تمییز داد، اگرچه افراد ممکن احتمالا به دلیل تغییرات وضعیت ریسک فاکتور در طول زمان با ریسک زیاد </w:t>
      </w:r>
      <w:r w:rsidR="00F82A87">
        <w:rPr>
          <w:lang w:bidi="fa-IR"/>
        </w:rPr>
        <w:t>CVD</w:t>
      </w:r>
      <w:r w:rsidR="00F82A87">
        <w:rPr>
          <w:rFonts w:hint="cs"/>
          <w:rtl/>
          <w:lang w:bidi="fa-IR"/>
        </w:rPr>
        <w:t xml:space="preserve"> شناسایی نشوند.</w:t>
      </w:r>
    </w:p>
    <w:p w14:paraId="1990F9C5" w14:textId="51C55AC9" w:rsidR="00F82A87" w:rsidRDefault="00FB0110" w:rsidP="00C300EB">
      <w:pPr>
        <w:rPr>
          <w:b/>
          <w:bCs/>
          <w:rtl/>
          <w:lang w:bidi="fa-IR"/>
        </w:rPr>
      </w:pPr>
      <w:r>
        <w:rPr>
          <w:rFonts w:hint="cs"/>
          <w:b/>
          <w:bCs/>
          <w:rtl/>
          <w:lang w:bidi="fa-IR"/>
        </w:rPr>
        <w:t xml:space="preserve">2.3.5 ریسک فاکتور </w:t>
      </w:r>
      <w:r>
        <w:rPr>
          <w:b/>
          <w:bCs/>
          <w:lang w:bidi="fa-IR"/>
        </w:rPr>
        <w:t>CVD</w:t>
      </w:r>
      <w:r>
        <w:rPr>
          <w:rFonts w:hint="cs"/>
          <w:b/>
          <w:bCs/>
          <w:rtl/>
          <w:lang w:bidi="fa-IR"/>
        </w:rPr>
        <w:t xml:space="preserve"> آترواسکلروتیک-</w:t>
      </w:r>
      <w:r>
        <w:rPr>
          <w:b/>
          <w:bCs/>
          <w:lang w:bidi="fa-IR"/>
        </w:rPr>
        <w:t>AHA</w:t>
      </w:r>
      <w:r>
        <w:rPr>
          <w:rFonts w:hint="cs"/>
          <w:b/>
          <w:bCs/>
          <w:rtl/>
          <w:lang w:bidi="fa-IR"/>
        </w:rPr>
        <w:t>-</w:t>
      </w:r>
      <w:r>
        <w:rPr>
          <w:b/>
          <w:bCs/>
          <w:lang w:bidi="fa-IR"/>
        </w:rPr>
        <w:t>ACC</w:t>
      </w:r>
    </w:p>
    <w:p w14:paraId="1B38AFBB" w14:textId="3DA0EFA1" w:rsidR="00FB0110" w:rsidRDefault="00CA33BE" w:rsidP="00C300EB">
      <w:pPr>
        <w:rPr>
          <w:rtl/>
          <w:lang w:bidi="fa-IR"/>
        </w:rPr>
      </w:pPr>
      <w:r>
        <w:rPr>
          <w:rFonts w:hint="cs"/>
          <w:rtl/>
          <w:lang w:bidi="fa-IR"/>
        </w:rPr>
        <w:t xml:space="preserve">اولین ریسک ایجاد </w:t>
      </w:r>
      <w:r>
        <w:rPr>
          <w:lang w:bidi="fa-IR"/>
        </w:rPr>
        <w:t>CVD</w:t>
      </w:r>
      <w:r>
        <w:rPr>
          <w:rFonts w:hint="cs"/>
          <w:rtl/>
          <w:lang w:bidi="fa-IR"/>
        </w:rPr>
        <w:t xml:space="preserve"> انجمن قلب آمریکا </w:t>
      </w:r>
      <w:r>
        <w:rPr>
          <w:lang w:bidi="fa-IR"/>
        </w:rPr>
        <w:t>(AHA)</w:t>
      </w:r>
      <w:r>
        <w:rPr>
          <w:rFonts w:hint="cs"/>
          <w:rtl/>
          <w:lang w:bidi="fa-IR"/>
        </w:rPr>
        <w:t xml:space="preserve"> و کالج کاردیولوژی آمریکا </w:t>
      </w:r>
      <w:r>
        <w:rPr>
          <w:lang w:bidi="fa-IR"/>
        </w:rPr>
        <w:t>(ACC)</w:t>
      </w:r>
      <w:r>
        <w:rPr>
          <w:rFonts w:hint="cs"/>
          <w:rtl/>
          <w:lang w:bidi="fa-IR"/>
        </w:rPr>
        <w:t xml:space="preserve"> کوتاه مدت بود و فقط برای افراد 20 تا 50 ساله در دسترس قرار داشت. با این حال، </w:t>
      </w:r>
      <w:r w:rsidR="003B283E">
        <w:rPr>
          <w:lang w:bidi="fa-IR"/>
        </w:rPr>
        <w:t>ACC</w:t>
      </w:r>
      <w:r w:rsidR="003B283E">
        <w:rPr>
          <w:rFonts w:hint="cs"/>
          <w:rtl/>
          <w:lang w:bidi="fa-IR"/>
        </w:rPr>
        <w:t xml:space="preserve"> و </w:t>
      </w:r>
      <w:r w:rsidR="003B283E">
        <w:rPr>
          <w:lang w:bidi="fa-IR"/>
        </w:rPr>
        <w:t>AHA</w:t>
      </w:r>
      <w:r w:rsidR="003B283E">
        <w:rPr>
          <w:rFonts w:hint="cs"/>
          <w:rtl/>
          <w:lang w:bidi="fa-IR"/>
        </w:rPr>
        <w:t xml:space="preserve"> به گسترش تحقیقات فعلی خود ادامه دادند و اعتبار و پیشرفت های بیشتری </w:t>
      </w:r>
      <w:r w:rsidR="00A664C3">
        <w:rPr>
          <w:rFonts w:hint="cs"/>
          <w:rtl/>
          <w:lang w:bidi="fa-IR"/>
        </w:rPr>
        <w:t xml:space="preserve">تا معادلات کوهورت ادغامی </w:t>
      </w:r>
      <w:r w:rsidR="00A664C3">
        <w:rPr>
          <w:lang w:bidi="fa-IR"/>
        </w:rPr>
        <w:t>(PCE)</w:t>
      </w:r>
      <w:r w:rsidR="00A664C3">
        <w:rPr>
          <w:rFonts w:hint="cs"/>
          <w:rtl/>
          <w:lang w:bidi="fa-IR"/>
        </w:rPr>
        <w:t xml:space="preserve"> اخیرا منتشر شده به دست آوردند (253). </w:t>
      </w:r>
      <w:r w:rsidR="00D32C30">
        <w:rPr>
          <w:lang w:bidi="fa-IR"/>
        </w:rPr>
        <w:t>PCE</w:t>
      </w:r>
      <w:r w:rsidR="00D32C30">
        <w:rPr>
          <w:rFonts w:hint="cs"/>
          <w:rtl/>
          <w:lang w:bidi="fa-IR"/>
        </w:rPr>
        <w:t xml:space="preserve">ها از معادلات ریسک </w:t>
      </w:r>
      <w:r w:rsidR="00D32C30">
        <w:rPr>
          <w:lang w:bidi="fa-IR"/>
        </w:rPr>
        <w:t>CVD</w:t>
      </w:r>
      <w:r w:rsidR="00D32C30">
        <w:rPr>
          <w:rFonts w:hint="cs"/>
          <w:rtl/>
          <w:lang w:bidi="fa-IR"/>
        </w:rPr>
        <w:t xml:space="preserve"> جدید با استفاده از 26689 بزرگسال 40 تا 79 سالة بدون </w:t>
      </w:r>
      <w:r w:rsidR="00D32C30">
        <w:rPr>
          <w:lang w:bidi="fa-IR"/>
        </w:rPr>
        <w:t>CVD</w:t>
      </w:r>
      <w:r w:rsidR="00D32C30">
        <w:rPr>
          <w:rFonts w:hint="cs"/>
          <w:rtl/>
          <w:lang w:bidi="fa-IR"/>
        </w:rPr>
        <w:t xml:space="preserve"> از شش مطالعة کوهورت طراحی شده برای ارزیابی ریسک </w:t>
      </w:r>
      <w:r w:rsidR="00D32C30">
        <w:rPr>
          <w:lang w:bidi="fa-IR"/>
        </w:rPr>
        <w:t>CVD</w:t>
      </w:r>
      <w:r w:rsidR="00D32C30">
        <w:rPr>
          <w:rFonts w:hint="cs"/>
          <w:rtl/>
          <w:lang w:bidi="fa-IR"/>
        </w:rPr>
        <w:t xml:space="preserve"> در جمعیت های خاص ایالات متحده استخراج و اعتبارسنجی شدند: </w:t>
      </w:r>
      <w:r w:rsidR="00621DBD">
        <w:rPr>
          <w:lang w:bidi="fa-IR"/>
        </w:rPr>
        <w:t>(a)</w:t>
      </w:r>
      <w:r w:rsidR="00621DBD">
        <w:rPr>
          <w:rFonts w:hint="cs"/>
          <w:rtl/>
          <w:lang w:bidi="fa-IR"/>
        </w:rPr>
        <w:t xml:space="preserve"> ریسک آترواسکلروتیک در جوامع </w:t>
      </w:r>
      <w:r w:rsidR="00621DBD">
        <w:rPr>
          <w:lang w:bidi="fa-IR"/>
        </w:rPr>
        <w:t>(ARIC)</w:t>
      </w:r>
      <w:r w:rsidR="00621DBD">
        <w:rPr>
          <w:rFonts w:hint="cs"/>
          <w:rtl/>
          <w:lang w:bidi="fa-IR"/>
        </w:rPr>
        <w:t xml:space="preserve"> در بزرگسالان میانسال چهار جامعه، 2011-1987؛ </w:t>
      </w:r>
      <w:r w:rsidR="00621DBD">
        <w:rPr>
          <w:lang w:bidi="fa-IR"/>
        </w:rPr>
        <w:t>(b)</w:t>
      </w:r>
      <w:r w:rsidR="00621DBD">
        <w:rPr>
          <w:rFonts w:hint="cs"/>
          <w:rtl/>
          <w:lang w:bidi="fa-IR"/>
        </w:rPr>
        <w:t xml:space="preserve"> مطالعة سلامت قلبی عروقی </w:t>
      </w:r>
      <w:r w:rsidR="00621DBD">
        <w:rPr>
          <w:lang w:bidi="fa-IR"/>
        </w:rPr>
        <w:t>(CHS)</w:t>
      </w:r>
      <w:r w:rsidR="00621DBD">
        <w:rPr>
          <w:rFonts w:hint="cs"/>
          <w:rtl/>
          <w:lang w:bidi="fa-IR"/>
        </w:rPr>
        <w:t xml:space="preserve"> در سالمندی، که به صورت سن بالاتر از 65 سال تعریف شد، 1989 تا 1999؛ </w:t>
      </w:r>
      <w:r w:rsidR="00621DBD">
        <w:rPr>
          <w:lang w:bidi="fa-IR"/>
        </w:rPr>
        <w:t>(c)</w:t>
      </w:r>
      <w:r w:rsidR="00621DBD">
        <w:rPr>
          <w:rFonts w:hint="cs"/>
          <w:rtl/>
          <w:lang w:bidi="fa-IR"/>
        </w:rPr>
        <w:t xml:space="preserve"> مطالع</w:t>
      </w:r>
      <w:r w:rsidR="00D27182">
        <w:rPr>
          <w:rFonts w:hint="cs"/>
          <w:rtl/>
          <w:lang w:bidi="fa-IR"/>
        </w:rPr>
        <w:t xml:space="preserve">ة ایجاد ریسک شریان کرونری در بزرگسالان جوان </w:t>
      </w:r>
      <w:r w:rsidR="00D27182">
        <w:rPr>
          <w:lang w:bidi="fa-IR"/>
        </w:rPr>
        <w:t>(CARDIA)</w:t>
      </w:r>
      <w:r w:rsidR="00D27182">
        <w:rPr>
          <w:rFonts w:hint="cs"/>
          <w:rtl/>
          <w:lang w:bidi="fa-IR"/>
        </w:rPr>
        <w:t xml:space="preserve">، 1983 تا 2006؛ </w:t>
      </w:r>
      <w:r w:rsidR="00D27182">
        <w:rPr>
          <w:lang w:bidi="fa-IR"/>
        </w:rPr>
        <w:t>(d)</w:t>
      </w:r>
      <w:r w:rsidR="00D27182">
        <w:rPr>
          <w:rFonts w:hint="cs"/>
          <w:rtl/>
          <w:lang w:bidi="fa-IR"/>
        </w:rPr>
        <w:t xml:space="preserve"> جفت </w:t>
      </w:r>
      <w:r w:rsidR="003D5D44">
        <w:rPr>
          <w:rFonts w:hint="cs"/>
          <w:rtl/>
          <w:lang w:bidi="fa-IR"/>
        </w:rPr>
        <w:t>زن و شوهر</w:t>
      </w:r>
      <w:r w:rsidR="00DE5093">
        <w:rPr>
          <w:rFonts w:hint="cs"/>
          <w:rtl/>
          <w:lang w:bidi="fa-IR"/>
        </w:rPr>
        <w:t xml:space="preserve">های فرزندان </w:t>
      </w:r>
      <w:r w:rsidR="00DE5093">
        <w:rPr>
          <w:lang w:bidi="fa-IR"/>
        </w:rPr>
        <w:t>FHS</w:t>
      </w:r>
      <w:r w:rsidR="00DE5093">
        <w:rPr>
          <w:rFonts w:hint="cs"/>
          <w:rtl/>
          <w:lang w:bidi="fa-IR"/>
        </w:rPr>
        <w:t xml:space="preserve">، 1971 تا 2014؛ </w:t>
      </w:r>
      <w:r w:rsidR="00DE5093">
        <w:rPr>
          <w:lang w:bidi="fa-IR"/>
        </w:rPr>
        <w:t>(e)</w:t>
      </w:r>
      <w:r w:rsidR="00DE5093">
        <w:rPr>
          <w:rFonts w:hint="cs"/>
          <w:rtl/>
          <w:lang w:bidi="fa-IR"/>
        </w:rPr>
        <w:t xml:space="preserve"> مطالعة قلب جکسون </w:t>
      </w:r>
      <w:r w:rsidR="00DE5093">
        <w:rPr>
          <w:lang w:bidi="fa-IR"/>
        </w:rPr>
        <w:t>(JHS)</w:t>
      </w:r>
      <w:r w:rsidR="00DE5093">
        <w:rPr>
          <w:rFonts w:hint="cs"/>
          <w:rtl/>
          <w:lang w:bidi="fa-IR"/>
        </w:rPr>
        <w:t xml:space="preserve"> در آفریقایی آمریکایی ها، 2000 تا 2012؛ و </w:t>
      </w:r>
      <w:r w:rsidR="00DE5093">
        <w:rPr>
          <w:lang w:bidi="fa-IR"/>
        </w:rPr>
        <w:t>(f)</w:t>
      </w:r>
      <w:r w:rsidR="00DE5093">
        <w:rPr>
          <w:rFonts w:hint="cs"/>
          <w:rtl/>
          <w:lang w:bidi="fa-IR"/>
        </w:rPr>
        <w:t xml:space="preserve"> مطالعة چند قومیتی آترواسکلروز </w:t>
      </w:r>
      <w:r w:rsidR="00DE5093">
        <w:rPr>
          <w:lang w:bidi="fa-IR"/>
        </w:rPr>
        <w:t>(MESA)</w:t>
      </w:r>
      <w:r w:rsidR="00DE5093">
        <w:rPr>
          <w:rFonts w:hint="cs"/>
          <w:rtl/>
          <w:lang w:bidi="fa-IR"/>
        </w:rPr>
        <w:t>، چهار گروه قومی در شش شهر، 2000 تا 2012 (253).</w:t>
      </w:r>
    </w:p>
    <w:p w14:paraId="6215D784" w14:textId="01068262" w:rsidR="00DE5093" w:rsidRDefault="00CA33B2" w:rsidP="00C300EB">
      <w:pPr>
        <w:rPr>
          <w:rtl/>
          <w:lang w:bidi="fa-IR"/>
        </w:rPr>
      </w:pPr>
      <w:r>
        <w:rPr>
          <w:rFonts w:hint="cs"/>
          <w:rtl/>
          <w:lang w:bidi="fa-IR"/>
        </w:rPr>
        <w:t xml:space="preserve">بیماری قلبی عروقی در </w:t>
      </w:r>
      <w:r>
        <w:rPr>
          <w:lang w:bidi="fa-IR"/>
        </w:rPr>
        <w:t>PCE</w:t>
      </w:r>
      <w:r>
        <w:rPr>
          <w:rFonts w:hint="cs"/>
          <w:rtl/>
          <w:lang w:bidi="fa-IR"/>
        </w:rPr>
        <w:t xml:space="preserve">ها با متغیرهای نتیجه ای تعریف شد که شامل </w:t>
      </w:r>
      <w:r>
        <w:rPr>
          <w:lang w:bidi="fa-IR"/>
        </w:rPr>
        <w:t>MI</w:t>
      </w:r>
      <w:r>
        <w:rPr>
          <w:rFonts w:hint="cs"/>
          <w:rtl/>
          <w:lang w:bidi="fa-IR"/>
        </w:rPr>
        <w:t xml:space="preserve"> غیرمرگبار، مرگ ناشی از </w:t>
      </w:r>
      <w:r>
        <w:rPr>
          <w:lang w:bidi="fa-IR"/>
        </w:rPr>
        <w:t>CHD</w:t>
      </w:r>
      <w:r>
        <w:rPr>
          <w:rFonts w:hint="cs"/>
          <w:rtl/>
          <w:lang w:bidi="fa-IR"/>
        </w:rPr>
        <w:t xml:space="preserve">، سکتة مغزی غیرمرگبار، و سکتة مغزی مرگبار بودند. مطالعة مشتق از </w:t>
      </w:r>
      <w:r>
        <w:rPr>
          <w:lang w:bidi="fa-IR"/>
        </w:rPr>
        <w:t>PCE</w:t>
      </w:r>
      <w:r>
        <w:rPr>
          <w:rFonts w:hint="cs"/>
          <w:rtl/>
          <w:lang w:bidi="fa-IR"/>
        </w:rPr>
        <w:t xml:space="preserve"> شامل مردان و زنان 40 تا 79 ساله، و نژاد سفیدپوست یا سیاه پوست، بدون سابقة بیماری شریانی کرونری، سکتة مغزی، نارسایی قلبی احتقانی، یا فیبریلاسیون دهلیزی بود. </w:t>
      </w:r>
    </w:p>
    <w:p w14:paraId="71C4962E" w14:textId="35703976" w:rsidR="0089537F" w:rsidRDefault="00841E19" w:rsidP="00C300EB">
      <w:pPr>
        <w:rPr>
          <w:rtl/>
          <w:lang w:bidi="fa-IR"/>
        </w:rPr>
      </w:pPr>
      <w:r>
        <w:rPr>
          <w:rFonts w:hint="cs"/>
          <w:rtl/>
          <w:lang w:bidi="fa-IR"/>
        </w:rPr>
        <w:t xml:space="preserve">یک آنالیز </w:t>
      </w:r>
      <w:r>
        <w:rPr>
          <w:lang w:bidi="fa-IR"/>
        </w:rPr>
        <w:t>PCE</w:t>
      </w:r>
      <w:r>
        <w:rPr>
          <w:rFonts w:hint="cs"/>
          <w:rtl/>
          <w:lang w:bidi="fa-IR"/>
        </w:rPr>
        <w:t xml:space="preserve"> مشابه در سال 2013 از داده های قدیمی </w:t>
      </w:r>
      <w:r>
        <w:rPr>
          <w:lang w:bidi="fa-IR"/>
        </w:rPr>
        <w:t>FHS</w:t>
      </w:r>
      <w:r>
        <w:rPr>
          <w:rFonts w:hint="cs"/>
          <w:rtl/>
          <w:lang w:bidi="fa-IR"/>
        </w:rPr>
        <w:t xml:space="preserve"> استفاده کرد که شامل مردان و زنان 32 تا 62 ساله در سال 1948 بود (209). </w:t>
      </w:r>
      <w:r w:rsidR="00030FD7">
        <w:rPr>
          <w:rFonts w:hint="cs"/>
          <w:rtl/>
          <w:lang w:bidi="fa-IR"/>
        </w:rPr>
        <w:t xml:space="preserve">قابل ذکر این که </w:t>
      </w:r>
      <w:r w:rsidR="00030FD7">
        <w:rPr>
          <w:lang w:bidi="fa-IR"/>
        </w:rPr>
        <w:t>PCE</w:t>
      </w:r>
      <w:r w:rsidR="00030FD7">
        <w:rPr>
          <w:rFonts w:hint="cs"/>
          <w:rtl/>
          <w:lang w:bidi="fa-IR"/>
        </w:rPr>
        <w:t xml:space="preserve">ها ریسک 10 سالة </w:t>
      </w:r>
      <w:r w:rsidR="00030FD7">
        <w:rPr>
          <w:lang w:bidi="fa-IR"/>
        </w:rPr>
        <w:t>CVD</w:t>
      </w:r>
      <w:r w:rsidR="00030FD7">
        <w:rPr>
          <w:rFonts w:hint="cs"/>
          <w:rtl/>
          <w:lang w:bidi="fa-IR"/>
        </w:rPr>
        <w:t xml:space="preserve"> را میانگین 20% در میان گروه های ریسک بیش از واقع برآورد نمودند، و </w:t>
      </w:r>
      <w:r w:rsidR="00141EAD">
        <w:rPr>
          <w:rFonts w:hint="cs"/>
          <w:rtl/>
          <w:lang w:bidi="fa-IR"/>
        </w:rPr>
        <w:t xml:space="preserve">برآورد اشتباه ریسک به خصوص در میان بزرگسالان سیاه پوست برجسته بود، اگرچه </w:t>
      </w:r>
      <w:r w:rsidR="00141EAD">
        <w:rPr>
          <w:lang w:bidi="fa-IR"/>
        </w:rPr>
        <w:t>PCE</w:t>
      </w:r>
      <w:r w:rsidR="00141EAD">
        <w:rPr>
          <w:rFonts w:hint="cs"/>
          <w:rtl/>
          <w:lang w:bidi="fa-IR"/>
        </w:rPr>
        <w:t xml:space="preserve">های بازنگری شده باعث بهبود دقت برآوردهای ریسک </w:t>
      </w:r>
      <w:r w:rsidR="00141EAD">
        <w:rPr>
          <w:lang w:bidi="fa-IR"/>
        </w:rPr>
        <w:t>CVD</w:t>
      </w:r>
      <w:r w:rsidR="00141EAD">
        <w:rPr>
          <w:rFonts w:hint="cs"/>
          <w:rtl/>
          <w:lang w:bidi="fa-IR"/>
        </w:rPr>
        <w:t xml:space="preserve"> شده، برآوردهای افراطی را کاهش دادند (209). </w:t>
      </w:r>
      <w:r w:rsidR="00EE1FE3">
        <w:rPr>
          <w:rFonts w:hint="cs"/>
          <w:rtl/>
          <w:lang w:bidi="fa-IR"/>
        </w:rPr>
        <w:t xml:space="preserve">در مورد </w:t>
      </w:r>
      <w:r w:rsidR="00EE1FE3">
        <w:rPr>
          <w:lang w:bidi="fa-IR"/>
        </w:rPr>
        <w:t>PCE</w:t>
      </w:r>
      <w:r w:rsidR="00EE1FE3">
        <w:rPr>
          <w:rFonts w:hint="cs"/>
          <w:rtl/>
          <w:lang w:bidi="fa-IR"/>
        </w:rPr>
        <w:t xml:space="preserve">های بازنگری شده، ریسک 10 سالة برآورد شدة </w:t>
      </w:r>
      <w:r w:rsidR="00EE1FE3">
        <w:rPr>
          <w:lang w:bidi="fa-IR"/>
        </w:rPr>
        <w:t>CVD</w:t>
      </w:r>
      <w:r w:rsidR="00EE1FE3">
        <w:rPr>
          <w:rFonts w:hint="cs"/>
          <w:rtl/>
          <w:lang w:bidi="fa-IR"/>
        </w:rPr>
        <w:t xml:space="preserve"> به طور کلی </w:t>
      </w:r>
      <w:r w:rsidR="00CE3E04">
        <w:rPr>
          <w:rFonts w:hint="cs"/>
          <w:rtl/>
          <w:lang w:bidi="fa-IR"/>
        </w:rPr>
        <w:t>در</w:t>
      </w:r>
      <w:r w:rsidR="00EE1FE3">
        <w:rPr>
          <w:rFonts w:hint="cs"/>
          <w:rtl/>
          <w:lang w:bidi="fa-IR"/>
        </w:rPr>
        <w:t xml:space="preserve"> جمعیت های آمریکایی هیسپانیک و آسیایی آمریکایی </w:t>
      </w:r>
      <w:r w:rsidR="00CE3E04">
        <w:rPr>
          <w:rFonts w:hint="cs"/>
          <w:rtl/>
          <w:lang w:bidi="fa-IR"/>
        </w:rPr>
        <w:t>کمتر و در جمعیت های آمریکایی آسیایی بیشتر</w:t>
      </w:r>
      <w:r w:rsidR="00EF57DA">
        <w:rPr>
          <w:rFonts w:hint="cs"/>
          <w:rtl/>
          <w:lang w:bidi="fa-IR"/>
        </w:rPr>
        <w:t xml:space="preserve"> از سفیدپوستان غیر هیسپانیک بود (209). در نتیجه، استفاده از نمرات ریسک </w:t>
      </w:r>
      <w:r w:rsidR="00274428">
        <w:rPr>
          <w:rFonts w:hint="cs"/>
          <w:rtl/>
          <w:lang w:bidi="fa-IR"/>
        </w:rPr>
        <w:t>برآورد شده-</w:t>
      </w:r>
      <w:r w:rsidR="00274428">
        <w:rPr>
          <w:lang w:bidi="fa-IR"/>
        </w:rPr>
        <w:t>PCE</w:t>
      </w:r>
      <w:r w:rsidR="00274428">
        <w:rPr>
          <w:rFonts w:hint="cs"/>
          <w:rtl/>
          <w:lang w:bidi="fa-IR"/>
        </w:rPr>
        <w:t xml:space="preserve"> بازنگری شده در شیوه های بالینی دائما مورد اختلاف نظر و</w:t>
      </w:r>
      <w:r w:rsidR="00FD7743">
        <w:rPr>
          <w:rFonts w:hint="cs"/>
          <w:rtl/>
          <w:lang w:bidi="fa-IR"/>
        </w:rPr>
        <w:t xml:space="preserve"> تحت</w:t>
      </w:r>
      <w:r w:rsidR="00274428">
        <w:rPr>
          <w:rFonts w:hint="cs"/>
          <w:rtl/>
          <w:lang w:bidi="fa-IR"/>
        </w:rPr>
        <w:t xml:space="preserve"> اعتبارسنجی است. </w:t>
      </w:r>
    </w:p>
    <w:p w14:paraId="2D59370A" w14:textId="504798A1" w:rsidR="006A61AB" w:rsidRDefault="006A61AB" w:rsidP="00C300EB">
      <w:pPr>
        <w:rPr>
          <w:b/>
          <w:bCs/>
          <w:rtl/>
          <w:lang w:bidi="fa-IR"/>
        </w:rPr>
      </w:pPr>
      <w:r>
        <w:rPr>
          <w:rFonts w:hint="cs"/>
          <w:b/>
          <w:bCs/>
          <w:rtl/>
          <w:lang w:bidi="fa-IR"/>
        </w:rPr>
        <w:t xml:space="preserve">2.3.6 پروژة </w:t>
      </w:r>
      <w:r>
        <w:rPr>
          <w:b/>
          <w:bCs/>
          <w:lang w:bidi="fa-IR"/>
        </w:rPr>
        <w:t>CLRPP</w:t>
      </w:r>
    </w:p>
    <w:p w14:paraId="65B73759" w14:textId="50E937B1" w:rsidR="006A61AB" w:rsidRDefault="00B7653F" w:rsidP="00C300EB">
      <w:pPr>
        <w:rPr>
          <w:rtl/>
          <w:lang w:bidi="fa-IR"/>
        </w:rPr>
      </w:pPr>
      <w:r>
        <w:rPr>
          <w:rFonts w:hint="cs"/>
          <w:rtl/>
          <w:lang w:bidi="fa-IR"/>
        </w:rPr>
        <w:t xml:space="preserve">در سال 2012، پروژة ادغام ریسک قلبی عروقی </w:t>
      </w:r>
      <w:r>
        <w:rPr>
          <w:lang w:bidi="fa-IR"/>
        </w:rPr>
        <w:t>(CLRPP)</w:t>
      </w:r>
      <w:r>
        <w:rPr>
          <w:rFonts w:hint="cs"/>
          <w:rtl/>
          <w:lang w:bidi="fa-IR"/>
        </w:rPr>
        <w:t xml:space="preserve"> نتایج داده های ادغامی مطالعات اپیدمیولوژیکی طولی متعددی که در طول 50 سال اخیر در آمریکا انجام شده اند را منتشر کرد (254). </w:t>
      </w:r>
      <w:r w:rsidR="00FE4AE9">
        <w:rPr>
          <w:rFonts w:hint="cs"/>
          <w:rtl/>
          <w:lang w:bidi="fa-IR"/>
        </w:rPr>
        <w:t xml:space="preserve">این پروژه ریسک رخدادهای </w:t>
      </w:r>
      <w:r w:rsidR="00FE4AE9">
        <w:rPr>
          <w:lang w:bidi="fa-IR"/>
        </w:rPr>
        <w:t>CVD</w:t>
      </w:r>
      <w:r w:rsidR="00FE4AE9">
        <w:rPr>
          <w:rFonts w:hint="cs"/>
          <w:rtl/>
          <w:lang w:bidi="fa-IR"/>
        </w:rPr>
        <w:t xml:space="preserve"> را براساس سن، جنسیت، نژاد، و سایر ریسک فاکتورها در میان کوهورت های متعددی که با یک مجموعه دادة کوهورت امکان پذیر نبود</w:t>
      </w:r>
      <w:r w:rsidR="00D55CF0">
        <w:rPr>
          <w:rFonts w:hint="cs"/>
          <w:rtl/>
          <w:lang w:bidi="fa-IR"/>
        </w:rPr>
        <w:t xml:space="preserve"> برآورد </w:t>
      </w:r>
      <w:r w:rsidR="00D55CF0">
        <w:rPr>
          <w:rFonts w:hint="cs"/>
          <w:rtl/>
          <w:lang w:bidi="fa-IR"/>
        </w:rPr>
        <w:lastRenderedPageBreak/>
        <w:t xml:space="preserve">کرد. </w:t>
      </w:r>
      <w:r w:rsidR="00C82F7A">
        <w:rPr>
          <w:rFonts w:hint="cs"/>
          <w:rtl/>
          <w:lang w:bidi="fa-IR"/>
        </w:rPr>
        <w:t xml:space="preserve">مطالعات </w:t>
      </w:r>
      <w:r w:rsidR="00C82F7A">
        <w:rPr>
          <w:lang w:bidi="fa-IR"/>
        </w:rPr>
        <w:t>CLRPP</w:t>
      </w:r>
      <w:r w:rsidR="00C82F7A">
        <w:rPr>
          <w:rFonts w:hint="cs"/>
          <w:rtl/>
          <w:lang w:bidi="fa-IR"/>
        </w:rPr>
        <w:t xml:space="preserve">، که نمونه های مبتنی بر جامعه، مبتنی بر جمعیت، یا کوهورت های داوطلب بزرگ هستند، حداقل یک معاینة پایه با اندازه گیری مستقیم متغیرهای فیزیولوژیک و آنتروپومتریک، و 10 سال یا بیشتر فالوآپ از نظر رخدادهای </w:t>
      </w:r>
      <w:r w:rsidR="00C82F7A">
        <w:rPr>
          <w:lang w:bidi="fa-IR"/>
        </w:rPr>
        <w:t>CVD</w:t>
      </w:r>
      <w:r w:rsidR="00C82F7A">
        <w:rPr>
          <w:rFonts w:hint="cs"/>
          <w:rtl/>
          <w:lang w:bidi="fa-IR"/>
        </w:rPr>
        <w:t xml:space="preserve"> مرگبار، رخدادهای </w:t>
      </w:r>
      <w:r w:rsidR="00C82F7A">
        <w:rPr>
          <w:lang w:bidi="fa-IR"/>
        </w:rPr>
        <w:t>CVD</w:t>
      </w:r>
      <w:r w:rsidR="00C82F7A">
        <w:rPr>
          <w:rFonts w:hint="cs"/>
          <w:rtl/>
          <w:lang w:bidi="fa-IR"/>
        </w:rPr>
        <w:t xml:space="preserve"> غیرمرگبار، یا هر دو داشتند. </w:t>
      </w:r>
    </w:p>
    <w:p w14:paraId="1E0A615C" w14:textId="1A8CBA3F" w:rsidR="00C82F7A" w:rsidRDefault="00FE4E19" w:rsidP="00C300EB">
      <w:pPr>
        <w:rPr>
          <w:rtl/>
          <w:lang w:bidi="fa-IR"/>
        </w:rPr>
      </w:pPr>
      <w:r>
        <w:rPr>
          <w:rFonts w:hint="cs"/>
          <w:rtl/>
          <w:lang w:bidi="fa-IR"/>
        </w:rPr>
        <w:t xml:space="preserve">داده های 18 کوهورت منحصر به فرد در مطالعه گنجانده شدند، که 17 مطالعه در آنالیز ادغامی در نظر گرفته شدند. به دلیل اندازة بزرگ یک مطالعه (کارآزمایی مداخلة </w:t>
      </w:r>
      <w:r w:rsidR="00DB2BEA">
        <w:rPr>
          <w:rFonts w:hint="cs"/>
          <w:rtl/>
          <w:lang w:bidi="fa-IR"/>
        </w:rPr>
        <w:t xml:space="preserve">ریسک فاکتورهای چندگانه </w:t>
      </w:r>
      <w:r w:rsidR="00DB2BEA">
        <w:rPr>
          <w:lang w:bidi="fa-IR"/>
        </w:rPr>
        <w:t>(MRFIT)</w:t>
      </w:r>
      <w:r w:rsidR="00DB2BEA">
        <w:rPr>
          <w:rFonts w:hint="cs"/>
          <w:rtl/>
          <w:lang w:bidi="fa-IR"/>
        </w:rPr>
        <w:t xml:space="preserve">)، نسبت به 17 مطالعة دیگر، این کوهورت جداگانه آنالیز شد (255). </w:t>
      </w:r>
      <w:r w:rsidR="000737A8">
        <w:rPr>
          <w:rFonts w:hint="cs"/>
          <w:rtl/>
          <w:lang w:bidi="fa-IR"/>
        </w:rPr>
        <w:t xml:space="preserve">کوهورت ادغامی </w:t>
      </w:r>
      <w:r w:rsidR="00223D80">
        <w:rPr>
          <w:rFonts w:hint="cs"/>
          <w:rtl/>
          <w:lang w:bidi="fa-IR"/>
        </w:rPr>
        <w:t>سن شاخص</w:t>
      </w:r>
      <w:r w:rsidR="000737A8">
        <w:rPr>
          <w:rFonts w:hint="cs"/>
          <w:rtl/>
          <w:lang w:bidi="fa-IR"/>
        </w:rPr>
        <w:t xml:space="preserve"> 55 سال و تا </w:t>
      </w:r>
      <w:r w:rsidR="00223D80">
        <w:rPr>
          <w:rFonts w:hint="cs"/>
          <w:rtl/>
          <w:lang w:bidi="fa-IR"/>
        </w:rPr>
        <w:t xml:space="preserve">731615 نفر-سال فالوآپ داشت و 5912 مورد مرگ ناشی از </w:t>
      </w:r>
      <w:r w:rsidR="00223D80">
        <w:rPr>
          <w:lang w:bidi="fa-IR"/>
        </w:rPr>
        <w:t>CVD</w:t>
      </w:r>
      <w:r w:rsidR="00223D80">
        <w:rPr>
          <w:rFonts w:hint="cs"/>
          <w:rtl/>
          <w:lang w:bidi="fa-IR"/>
        </w:rPr>
        <w:t xml:space="preserve">، 5061 مورد انفارکشن میورکارد مرگبار یا غیرمرگبار، 2295 سکتة مغزی مرگبار یا غیرمرگبار، و در کل 9391 رخداد مرتبط با بیماری قلبی عروقی </w:t>
      </w:r>
      <w:r w:rsidR="00B576A3">
        <w:rPr>
          <w:rFonts w:hint="cs"/>
          <w:rtl/>
          <w:lang w:bidi="fa-IR"/>
        </w:rPr>
        <w:t xml:space="preserve">وجود داشت (254). </w:t>
      </w:r>
      <w:r w:rsidR="00F3294D">
        <w:rPr>
          <w:rFonts w:hint="cs"/>
          <w:rtl/>
          <w:lang w:bidi="fa-IR"/>
        </w:rPr>
        <w:t xml:space="preserve">در میان افراد دارای همان سن شاخص در </w:t>
      </w:r>
      <w:r w:rsidR="00F3294D">
        <w:rPr>
          <w:lang w:bidi="fa-IR"/>
        </w:rPr>
        <w:t>MRFIT</w:t>
      </w:r>
      <w:r w:rsidR="00F3294D">
        <w:rPr>
          <w:rFonts w:hint="cs"/>
          <w:rtl/>
          <w:lang w:bidi="fa-IR"/>
        </w:rPr>
        <w:t xml:space="preserve">، 14199 مورد مرگ ناشی از بیماری </w:t>
      </w:r>
      <w:r w:rsidR="0073252E">
        <w:rPr>
          <w:rFonts w:hint="cs"/>
          <w:rtl/>
          <w:lang w:bidi="fa-IR"/>
        </w:rPr>
        <w:t>قلبی عروقی با 1766773 نفر-سال فالوآپ وجود داشت (254).</w:t>
      </w:r>
    </w:p>
    <w:p w14:paraId="23D1B52A" w14:textId="2ED8CF60" w:rsidR="0073252E" w:rsidRDefault="009F06FC" w:rsidP="00C300EB">
      <w:pPr>
        <w:rPr>
          <w:rtl/>
          <w:lang w:bidi="fa-IR"/>
        </w:rPr>
      </w:pPr>
      <w:r>
        <w:rPr>
          <w:rFonts w:hint="cs"/>
          <w:rtl/>
          <w:lang w:bidi="fa-IR"/>
        </w:rPr>
        <w:t xml:space="preserve">ریسک مرگ ناشی از بیماری قلبی عروقی در کوهورت ادغامی در میان مردان بیشتر از زنان بود، اما ریسک مرگ مرتبط با </w:t>
      </w:r>
      <w:r>
        <w:rPr>
          <w:lang w:bidi="fa-IR"/>
        </w:rPr>
        <w:t>CVD</w:t>
      </w:r>
      <w:r>
        <w:rPr>
          <w:rFonts w:hint="cs"/>
          <w:rtl/>
          <w:lang w:bidi="fa-IR"/>
        </w:rPr>
        <w:t xml:space="preserve"> بین مردان (سیاهپوست، 33.0%؛ سفیدپوست، 36.1%) و زنان (سیاهپوست، 27.1%؛ سفیدپوست، 26.6%) سیاهپوست و سفیدپوست </w:t>
      </w:r>
      <w:r w:rsidR="00FB56D2">
        <w:rPr>
          <w:rFonts w:hint="cs"/>
          <w:rtl/>
          <w:lang w:bidi="fa-IR"/>
        </w:rPr>
        <w:t xml:space="preserve">مشابه بود (254). در میان مردان و زنان دارای سن شاخص 55 سال، </w:t>
      </w:r>
      <w:r w:rsidR="003D7B1C">
        <w:rPr>
          <w:rFonts w:hint="cs"/>
          <w:rtl/>
          <w:lang w:bidi="fa-IR"/>
        </w:rPr>
        <w:t xml:space="preserve">بار بیشتر ریسک فاکتورها با ریسک بیشتر مرگ ناشی از </w:t>
      </w:r>
      <w:r w:rsidR="003D7B1C">
        <w:rPr>
          <w:lang w:bidi="fa-IR"/>
        </w:rPr>
        <w:t>CVD</w:t>
      </w:r>
      <w:r w:rsidR="003D7B1C">
        <w:rPr>
          <w:rFonts w:hint="cs"/>
          <w:rtl/>
          <w:lang w:bidi="fa-IR"/>
        </w:rPr>
        <w:t xml:space="preserve"> مرتبط بود. شکل 2 و شکل 3 ریسک مرگ ناشی از </w:t>
      </w:r>
      <w:r w:rsidR="003D7B1C">
        <w:rPr>
          <w:lang w:bidi="fa-IR"/>
        </w:rPr>
        <w:t>CVD</w:t>
      </w:r>
      <w:r w:rsidR="003D7B1C">
        <w:rPr>
          <w:rFonts w:hint="cs"/>
          <w:rtl/>
          <w:lang w:bidi="fa-IR"/>
        </w:rPr>
        <w:t xml:space="preserve"> براساس سطوح </w:t>
      </w:r>
      <w:r w:rsidR="00793CFF">
        <w:rPr>
          <w:rFonts w:hint="cs"/>
          <w:rtl/>
          <w:lang w:bidi="fa-IR"/>
        </w:rPr>
        <w:t>ریسک</w:t>
      </w:r>
      <w:r w:rsidR="003D7B1C">
        <w:rPr>
          <w:rFonts w:hint="cs"/>
          <w:rtl/>
          <w:lang w:bidi="fa-IR"/>
        </w:rPr>
        <w:t xml:space="preserve"> </w:t>
      </w:r>
      <w:r w:rsidR="00793CFF">
        <w:rPr>
          <w:rFonts w:hint="cs"/>
          <w:rtl/>
          <w:lang w:bidi="fa-IR"/>
        </w:rPr>
        <w:t>سیستماتیک</w:t>
      </w:r>
      <w:r w:rsidR="003D7B1C">
        <w:rPr>
          <w:rFonts w:hint="cs"/>
          <w:rtl/>
          <w:lang w:bidi="fa-IR"/>
        </w:rPr>
        <w:t xml:space="preserve"> برای مردان و زنان 55 ساله در کوهورت ادغامی، به جز افراد </w:t>
      </w:r>
      <w:r w:rsidR="003D7B1C">
        <w:rPr>
          <w:lang w:bidi="fa-IR"/>
        </w:rPr>
        <w:t>MRFIT</w:t>
      </w:r>
      <w:r w:rsidR="003D7B1C">
        <w:rPr>
          <w:rFonts w:hint="cs"/>
          <w:rtl/>
          <w:lang w:bidi="fa-IR"/>
        </w:rPr>
        <w:t xml:space="preserve">، را </w:t>
      </w:r>
      <w:r w:rsidR="00C81EFE">
        <w:rPr>
          <w:rFonts w:hint="cs"/>
          <w:rtl/>
          <w:lang w:bidi="fa-IR"/>
        </w:rPr>
        <w:t>نشان می دهند</w:t>
      </w:r>
      <w:r w:rsidR="005F1524">
        <w:rPr>
          <w:rFonts w:hint="cs"/>
          <w:rtl/>
          <w:lang w:bidi="fa-IR"/>
        </w:rPr>
        <w:t xml:space="preserve">. </w:t>
      </w:r>
    </w:p>
    <w:p w14:paraId="5308A96F" w14:textId="77777777" w:rsidR="00760975" w:rsidRDefault="00760975" w:rsidP="00760975">
      <w:pPr>
        <w:keepNext/>
      </w:pPr>
      <w:r w:rsidRPr="00EE3F50">
        <w:rPr>
          <w:rFonts w:cs="Times New Roman"/>
          <w:noProof/>
          <w:sz w:val="24"/>
        </w:rPr>
        <w:drawing>
          <wp:inline distT="0" distB="0" distL="0" distR="0" wp14:anchorId="6663FBAC" wp14:editId="24BAD2C6">
            <wp:extent cx="4971415" cy="2219325"/>
            <wp:effectExtent l="0" t="0" r="635" b="9525"/>
            <wp:docPr id="30" name="Picture 3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line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1415" cy="2219325"/>
                    </a:xfrm>
                    <a:prstGeom prst="rect">
                      <a:avLst/>
                    </a:prstGeom>
                    <a:noFill/>
                  </pic:spPr>
                </pic:pic>
              </a:graphicData>
            </a:graphic>
          </wp:inline>
        </w:drawing>
      </w:r>
    </w:p>
    <w:p w14:paraId="4E9863F3" w14:textId="7DA732AF" w:rsidR="008A25B4" w:rsidRDefault="00760975" w:rsidP="00760975">
      <w:pPr>
        <w:pStyle w:val="Caption"/>
        <w:rPr>
          <w:rtl/>
          <w:lang w:bidi="fa-IR"/>
        </w:rPr>
      </w:pPr>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E941D1">
        <w:rPr>
          <w:noProof/>
          <w:rtl/>
        </w:rPr>
        <w:t>2</w:t>
      </w:r>
      <w:r>
        <w:rPr>
          <w:rtl/>
        </w:rPr>
        <w:fldChar w:fldCharType="end"/>
      </w:r>
      <w:r>
        <w:rPr>
          <w:rFonts w:hint="cs"/>
          <w:rtl/>
        </w:rPr>
        <w:t xml:space="preserve"> ریسک مرگ ناشی از </w:t>
      </w:r>
      <w:r>
        <w:t>CVD</w:t>
      </w:r>
      <w:r>
        <w:rPr>
          <w:rFonts w:hint="cs"/>
          <w:rtl/>
          <w:lang w:bidi="fa-IR"/>
        </w:rPr>
        <w:t xml:space="preserve"> در میان مردان سیاهپوست و سفیدپوست (254).</w:t>
      </w:r>
    </w:p>
    <w:p w14:paraId="468ECBDC" w14:textId="77777777" w:rsidR="00431DB2" w:rsidRDefault="00431DB2" w:rsidP="00431DB2">
      <w:pPr>
        <w:keepNext/>
      </w:pPr>
      <w:r w:rsidRPr="00EE3F50">
        <w:rPr>
          <w:rFonts w:cs="Times New Roman"/>
          <w:noProof/>
          <w:sz w:val="24"/>
        </w:rPr>
        <w:lastRenderedPageBreak/>
        <w:drawing>
          <wp:inline distT="0" distB="0" distL="0" distR="0" wp14:anchorId="4F3374EB" wp14:editId="0419433A">
            <wp:extent cx="5066665" cy="2419350"/>
            <wp:effectExtent l="0" t="0" r="635" b="0"/>
            <wp:docPr id="31" name="Picture 3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 lin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6665" cy="2419350"/>
                    </a:xfrm>
                    <a:prstGeom prst="rect">
                      <a:avLst/>
                    </a:prstGeom>
                    <a:noFill/>
                  </pic:spPr>
                </pic:pic>
              </a:graphicData>
            </a:graphic>
          </wp:inline>
        </w:drawing>
      </w:r>
    </w:p>
    <w:p w14:paraId="64470966" w14:textId="43A06CBA" w:rsidR="00C06DBB" w:rsidRDefault="00431DB2" w:rsidP="00431DB2">
      <w:pPr>
        <w:pStyle w:val="Caption"/>
        <w:rPr>
          <w:rtl/>
          <w:lang w:bidi="fa-IR"/>
        </w:rPr>
      </w:pPr>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sidR="00E941D1">
        <w:rPr>
          <w:noProof/>
          <w:rtl/>
        </w:rPr>
        <w:t>3</w:t>
      </w:r>
      <w:r>
        <w:rPr>
          <w:rtl/>
        </w:rPr>
        <w:fldChar w:fldCharType="end"/>
      </w:r>
      <w:r>
        <w:rPr>
          <w:rFonts w:hint="cs"/>
          <w:rtl/>
        </w:rPr>
        <w:t xml:space="preserve"> ریسک مرگ ناشی از </w:t>
      </w:r>
      <w:r>
        <w:t>CVD</w:t>
      </w:r>
      <w:r>
        <w:rPr>
          <w:rFonts w:hint="cs"/>
          <w:rtl/>
          <w:lang w:bidi="fa-IR"/>
        </w:rPr>
        <w:t xml:space="preserve"> در میان زنان سیاهپوست و سفیدپوست (254).</w:t>
      </w:r>
    </w:p>
    <w:p w14:paraId="6AD58BC4" w14:textId="334B0F24" w:rsidR="00431DB2" w:rsidRDefault="00431DB2" w:rsidP="00431DB2">
      <w:pPr>
        <w:rPr>
          <w:b/>
          <w:bCs/>
          <w:rtl/>
          <w:lang w:bidi="fa-IR"/>
        </w:rPr>
      </w:pPr>
      <w:r>
        <w:rPr>
          <w:rFonts w:hint="cs"/>
          <w:b/>
          <w:bCs/>
          <w:rtl/>
          <w:lang w:bidi="fa-IR"/>
        </w:rPr>
        <w:t xml:space="preserve">2.3.7 نمرة </w:t>
      </w:r>
      <w:r>
        <w:rPr>
          <w:b/>
          <w:bCs/>
          <w:lang w:bidi="fa-IR"/>
        </w:rPr>
        <w:t>QRISK</w:t>
      </w:r>
    </w:p>
    <w:p w14:paraId="6190A361" w14:textId="2C3CBE58" w:rsidR="00431DB2" w:rsidRDefault="00DB3407" w:rsidP="00431DB2">
      <w:pPr>
        <w:rPr>
          <w:rtl/>
          <w:lang w:bidi="fa-IR"/>
        </w:rPr>
      </w:pPr>
      <w:r>
        <w:rPr>
          <w:rFonts w:hint="cs"/>
          <w:rtl/>
          <w:lang w:bidi="fa-IR"/>
        </w:rPr>
        <w:t xml:space="preserve">یک نمرة ریسک </w:t>
      </w:r>
      <w:r>
        <w:rPr>
          <w:lang w:bidi="fa-IR"/>
        </w:rPr>
        <w:t>CVD</w:t>
      </w:r>
      <w:r>
        <w:rPr>
          <w:rFonts w:hint="cs"/>
          <w:rtl/>
          <w:lang w:bidi="fa-IR"/>
        </w:rPr>
        <w:t xml:space="preserve"> جدید برای انگلستان، به نام </w:t>
      </w:r>
      <w:r>
        <w:rPr>
          <w:lang w:bidi="fa-IR"/>
        </w:rPr>
        <w:t>QRISK</w:t>
      </w:r>
      <w:r>
        <w:rPr>
          <w:rFonts w:hint="cs"/>
          <w:rtl/>
          <w:lang w:bidi="fa-IR"/>
        </w:rPr>
        <w:t xml:space="preserve">، از یک کوهورت شامل 1.28 میلیون بیمار 35 تا 74 ساله که در 318 مطب ثبت شده بودند (1 ژانویة 1995 تا 1 آوریل 2007)، بدون دیابت </w:t>
      </w:r>
      <w:r w:rsidR="00D84091">
        <w:rPr>
          <w:rFonts w:hint="cs"/>
          <w:rtl/>
          <w:lang w:bidi="fa-IR"/>
        </w:rPr>
        <w:t xml:space="preserve">و </w:t>
      </w:r>
      <w:r w:rsidR="00D84091">
        <w:rPr>
          <w:lang w:bidi="fa-IR"/>
        </w:rPr>
        <w:t>CVD</w:t>
      </w:r>
      <w:r w:rsidR="00D84091">
        <w:rPr>
          <w:rFonts w:hint="cs"/>
          <w:rtl/>
          <w:lang w:bidi="fa-IR"/>
        </w:rPr>
        <w:t xml:space="preserve"> بودند، استخراج شد (256). </w:t>
      </w:r>
      <w:r w:rsidR="004A226B">
        <w:rPr>
          <w:rFonts w:hint="cs"/>
          <w:rtl/>
          <w:lang w:bidi="fa-IR"/>
        </w:rPr>
        <w:t xml:space="preserve">هدف نمرة </w:t>
      </w:r>
      <w:r w:rsidR="004A226B">
        <w:rPr>
          <w:lang w:bidi="fa-IR"/>
        </w:rPr>
        <w:t>QRISK</w:t>
      </w:r>
      <w:r w:rsidR="004A226B">
        <w:rPr>
          <w:rFonts w:hint="cs"/>
          <w:rtl/>
          <w:lang w:bidi="fa-IR"/>
        </w:rPr>
        <w:t xml:space="preserve"> اعتبارسنجی عملکرد آن در برابر الگوریتم </w:t>
      </w:r>
      <w:r w:rsidR="004A226B">
        <w:rPr>
          <w:lang w:bidi="fa-IR"/>
        </w:rPr>
        <w:t>CVD</w:t>
      </w:r>
      <w:r w:rsidR="004A226B">
        <w:rPr>
          <w:rFonts w:hint="cs"/>
          <w:rtl/>
          <w:lang w:bidi="fa-IR"/>
        </w:rPr>
        <w:t xml:space="preserve"> فرامینگهام بود. کوهورت اعتبارسنجی شامل 610000 بیمار از 160 مطب بود و معیارهای نتیجة اصلی اولین تشخیص ثبت شدة </w:t>
      </w:r>
      <w:r w:rsidR="004A226B">
        <w:rPr>
          <w:lang w:bidi="fa-IR"/>
        </w:rPr>
        <w:t>CVD</w:t>
      </w:r>
      <w:r w:rsidR="004A226B">
        <w:rPr>
          <w:rFonts w:hint="cs"/>
          <w:rtl/>
          <w:lang w:bidi="fa-IR"/>
        </w:rPr>
        <w:t xml:space="preserve"> (تشخیص بین 1 ژانویة 1995 تا 1 آوریل 2007)، </w:t>
      </w:r>
      <w:r w:rsidR="006D4097">
        <w:rPr>
          <w:rFonts w:hint="cs"/>
          <w:rtl/>
          <w:lang w:bidi="fa-IR"/>
        </w:rPr>
        <w:t xml:space="preserve">شامل انفارکشن میوکارد، بیماری قلبی کرونری، سکتة مغزی، و حملات ایسکمیک گذرا بودند (256). </w:t>
      </w:r>
      <w:r w:rsidR="00760B68">
        <w:rPr>
          <w:rFonts w:hint="cs"/>
          <w:rtl/>
          <w:lang w:bidi="fa-IR"/>
        </w:rPr>
        <w:t xml:space="preserve">ریسک فاکتورها شامل سن، جنسیت، وضعیت سیگار کشیدن، فشار خون سیستولی، نسبت </w:t>
      </w:r>
      <w:r w:rsidR="00760B68">
        <w:rPr>
          <w:lang w:bidi="fa-IR"/>
        </w:rPr>
        <w:t>TC/HDL</w:t>
      </w:r>
      <w:r w:rsidR="00760B68">
        <w:rPr>
          <w:rFonts w:hint="cs"/>
          <w:rtl/>
          <w:lang w:bidi="fa-IR"/>
        </w:rPr>
        <w:t xml:space="preserve"> سرم، سابقة خانوادگی بیماری قلبی کرونری در وابستگان درجة اول زیر 60 سال، </w:t>
      </w:r>
      <w:r w:rsidR="004C4E4F">
        <w:rPr>
          <w:rFonts w:hint="cs"/>
          <w:rtl/>
          <w:lang w:bidi="fa-IR"/>
        </w:rPr>
        <w:t xml:space="preserve">مقدار محرومیت منطقه، و درمان موجوود با داروی ضدفشارخون </w:t>
      </w:r>
      <w:r w:rsidR="00FE5685">
        <w:rPr>
          <w:rFonts w:hint="cs"/>
          <w:rtl/>
          <w:lang w:bidi="fa-IR"/>
        </w:rPr>
        <w:t>بودند.</w:t>
      </w:r>
    </w:p>
    <w:p w14:paraId="315EF463" w14:textId="576B0432" w:rsidR="00FE5685" w:rsidRDefault="00E47DB7" w:rsidP="00431DB2">
      <w:pPr>
        <w:rPr>
          <w:rtl/>
          <w:lang w:bidi="fa-IR"/>
        </w:rPr>
      </w:pPr>
      <w:r>
        <w:rPr>
          <w:rFonts w:hint="cs"/>
          <w:rtl/>
          <w:lang w:bidi="fa-IR"/>
        </w:rPr>
        <w:t xml:space="preserve">در کوهورت اعتبارسنجی، ریسک 10 سالة مشاهده شدة یک رخداد </w:t>
      </w:r>
      <w:r>
        <w:rPr>
          <w:lang w:bidi="fa-IR"/>
        </w:rPr>
        <w:t>CVD</w:t>
      </w:r>
      <w:r>
        <w:rPr>
          <w:rFonts w:hint="cs"/>
          <w:rtl/>
          <w:lang w:bidi="fa-IR"/>
        </w:rPr>
        <w:t xml:space="preserve"> در زنان 6.60% (</w:t>
      </w:r>
      <w:r>
        <w:rPr>
          <w:lang w:bidi="fa-IR"/>
        </w:rPr>
        <w:t>95%CI</w:t>
      </w:r>
      <w:r>
        <w:rPr>
          <w:rFonts w:hint="cs"/>
          <w:rtl/>
          <w:lang w:bidi="fa-IR"/>
        </w:rPr>
        <w:t xml:space="preserve"> بین 6.48 تا 6.72)، و در مردان 9.28% (</w:t>
      </w:r>
      <w:r>
        <w:rPr>
          <w:lang w:bidi="fa-IR"/>
        </w:rPr>
        <w:t>95%CI</w:t>
      </w:r>
      <w:r>
        <w:rPr>
          <w:rFonts w:hint="cs"/>
          <w:rtl/>
          <w:lang w:bidi="fa-IR"/>
        </w:rPr>
        <w:t xml:space="preserve"> بین 9.14 تا 9.43) بود، در حالی که الگوریتم </w:t>
      </w:r>
      <w:r>
        <w:rPr>
          <w:lang w:bidi="fa-IR"/>
        </w:rPr>
        <w:t>FRS</w:t>
      </w:r>
      <w:r>
        <w:rPr>
          <w:rFonts w:hint="cs"/>
          <w:rtl/>
          <w:lang w:bidi="fa-IR"/>
        </w:rPr>
        <w:t xml:space="preserve"> ریسک </w:t>
      </w:r>
      <w:r>
        <w:rPr>
          <w:lang w:bidi="fa-IR"/>
        </w:rPr>
        <w:t>CVD</w:t>
      </w:r>
      <w:r>
        <w:rPr>
          <w:rFonts w:hint="cs"/>
          <w:rtl/>
          <w:lang w:bidi="fa-IR"/>
        </w:rPr>
        <w:t xml:space="preserve"> در 10 سال را تا 35% بیش از واقعیت پیش بینی کرد (256). </w:t>
      </w:r>
      <w:r w:rsidR="00315AEA">
        <w:rPr>
          <w:rFonts w:hint="cs"/>
          <w:rtl/>
          <w:lang w:bidi="fa-IR"/>
        </w:rPr>
        <w:t xml:space="preserve">با استفاده از </w:t>
      </w:r>
      <w:r w:rsidR="00315AEA">
        <w:rPr>
          <w:lang w:bidi="fa-IR"/>
        </w:rPr>
        <w:t>QRISK</w:t>
      </w:r>
      <w:r w:rsidR="00315AEA">
        <w:rPr>
          <w:rFonts w:hint="cs"/>
          <w:rtl/>
          <w:lang w:bidi="fa-IR"/>
        </w:rPr>
        <w:t xml:space="preserve">، 8.5% بیماران 35 تا 74 ساله در معرض ریسک زیاد (ریسک 20% یا بیشتر در 10 سال) </w:t>
      </w:r>
      <w:r w:rsidR="00E632E1">
        <w:rPr>
          <w:rFonts w:hint="cs"/>
          <w:rtl/>
          <w:lang w:bidi="fa-IR"/>
        </w:rPr>
        <w:t xml:space="preserve">قرار داشتند، در حالی که با استفاده از الگوریتم </w:t>
      </w:r>
      <w:r w:rsidR="00E632E1">
        <w:rPr>
          <w:lang w:bidi="fa-IR"/>
        </w:rPr>
        <w:t>FRS</w:t>
      </w:r>
      <w:r w:rsidR="00E632E1">
        <w:rPr>
          <w:rFonts w:hint="cs"/>
          <w:rtl/>
          <w:lang w:bidi="fa-IR"/>
        </w:rPr>
        <w:t xml:space="preserve"> این میزان 13% بود (256). </w:t>
      </w:r>
      <w:r w:rsidR="00AF57AB">
        <w:rPr>
          <w:rFonts w:hint="cs"/>
          <w:rtl/>
          <w:lang w:bidi="fa-IR"/>
        </w:rPr>
        <w:t xml:space="preserve">تخمین های انگلستان برای سال 2005 براساس </w:t>
      </w:r>
      <w:r w:rsidR="00936D26">
        <w:rPr>
          <w:lang w:bidi="fa-IR"/>
        </w:rPr>
        <w:t>QRISK</w:t>
      </w:r>
      <w:r w:rsidR="00936D26">
        <w:rPr>
          <w:rFonts w:hint="cs"/>
          <w:rtl/>
          <w:lang w:bidi="fa-IR"/>
        </w:rPr>
        <w:t xml:space="preserve">، 3.2 میلیون بیمار 35 تا 74 ساله را در معرض ریسک طبقه بندی نمود، در حالی که الگوریتم </w:t>
      </w:r>
      <w:r w:rsidR="00936D26">
        <w:rPr>
          <w:lang w:bidi="fa-IR"/>
        </w:rPr>
        <w:t>FRS</w:t>
      </w:r>
      <w:r w:rsidR="00936D26">
        <w:rPr>
          <w:rFonts w:hint="cs"/>
          <w:rtl/>
          <w:lang w:bidi="fa-IR"/>
        </w:rPr>
        <w:t xml:space="preserve"> این مقدار را برای 4.7 میلیون نفر پیش بینی نمود (256). </w:t>
      </w:r>
      <w:r w:rsidR="006449B1">
        <w:rPr>
          <w:rFonts w:hint="cs"/>
          <w:rtl/>
          <w:lang w:bidi="fa-IR"/>
        </w:rPr>
        <w:t xml:space="preserve">معیارهای تمییز برای </w:t>
      </w:r>
      <w:r w:rsidR="006449B1">
        <w:rPr>
          <w:lang w:bidi="fa-IR"/>
        </w:rPr>
        <w:t>QRISK</w:t>
      </w:r>
      <w:r w:rsidR="006449B1">
        <w:rPr>
          <w:rFonts w:hint="cs"/>
          <w:rtl/>
          <w:lang w:bidi="fa-IR"/>
        </w:rPr>
        <w:t xml:space="preserve"> در مقایسه با الگوریتم </w:t>
      </w:r>
      <w:r w:rsidR="006449B1">
        <w:rPr>
          <w:lang w:bidi="fa-IR"/>
        </w:rPr>
        <w:t>FRS</w:t>
      </w:r>
      <w:r w:rsidR="006449B1">
        <w:rPr>
          <w:rFonts w:hint="cs"/>
          <w:rtl/>
          <w:lang w:bidi="fa-IR"/>
        </w:rPr>
        <w:t xml:space="preserve"> بالاتر بوده و بهتر برای جمعیت انگلستان کالیبره شده بود. با استفاده از </w:t>
      </w:r>
      <w:r w:rsidR="006449B1">
        <w:rPr>
          <w:lang w:bidi="fa-IR"/>
        </w:rPr>
        <w:t>QRISK</w:t>
      </w:r>
      <w:r w:rsidR="006449B1">
        <w:rPr>
          <w:rFonts w:hint="cs"/>
          <w:rtl/>
          <w:lang w:bidi="fa-IR"/>
        </w:rPr>
        <w:t xml:space="preserve">، 34% از زنان و 73% از مردان 64 تا 75 ساله در معرض ریسک زیاد خواهند بود، در حالی که در مورد الگوریتم </w:t>
      </w:r>
      <w:r w:rsidR="006449B1">
        <w:rPr>
          <w:lang w:bidi="fa-IR"/>
        </w:rPr>
        <w:t>FRS</w:t>
      </w:r>
      <w:r w:rsidR="006449B1">
        <w:rPr>
          <w:rFonts w:hint="cs"/>
          <w:rtl/>
          <w:lang w:bidi="fa-IR"/>
        </w:rPr>
        <w:t xml:space="preserve"> این قادیر به ترتیب 24% و 86% هستند (256). </w:t>
      </w:r>
      <w:r w:rsidR="00DC1C37">
        <w:rPr>
          <w:rFonts w:hint="cs"/>
          <w:rtl/>
          <w:lang w:bidi="fa-IR"/>
        </w:rPr>
        <w:t xml:space="preserve">این یافته ها پیانمدها و تاثیرات بالقوه ای روی سیاست های بهداشتی و ارائة مراقبت های پیشگیرانه در انگلستان دارند. نمرة </w:t>
      </w:r>
      <w:r w:rsidR="00DC1C37">
        <w:rPr>
          <w:lang w:bidi="fa-IR"/>
        </w:rPr>
        <w:t>QRISK</w:t>
      </w:r>
      <w:r w:rsidR="00DC1C37">
        <w:rPr>
          <w:rFonts w:hint="cs"/>
          <w:rtl/>
          <w:lang w:bidi="fa-IR"/>
        </w:rPr>
        <w:t xml:space="preserve"> احتمالا برآوردهای ریسک مناسب تری برای کمک به شناسایی بیماران پررسیک براساس سن و جنسیت فراهم می </w:t>
      </w:r>
      <w:r w:rsidR="00DC1C37">
        <w:rPr>
          <w:rFonts w:hint="cs"/>
          <w:rtl/>
          <w:lang w:bidi="fa-IR"/>
        </w:rPr>
        <w:lastRenderedPageBreak/>
        <w:t xml:space="preserve">کند. بنابراین، </w:t>
      </w:r>
      <w:r w:rsidR="00B94A72">
        <w:rPr>
          <w:rFonts w:hint="cs"/>
          <w:rtl/>
          <w:lang w:bidi="fa-IR"/>
        </w:rPr>
        <w:t xml:space="preserve">احتمالا ابزار منصفانه تری برای کمک به تصمیم گیری های مدیریتی و کمک به اطمینان از هدایت درمان ها به سمت کسانی که بیشتر احتمال دارد </w:t>
      </w:r>
      <w:r w:rsidR="00632123">
        <w:rPr>
          <w:rFonts w:hint="cs"/>
          <w:rtl/>
          <w:lang w:bidi="fa-IR"/>
        </w:rPr>
        <w:t xml:space="preserve">از آن ها بهره ببرند، می باشد. </w:t>
      </w:r>
      <w:r w:rsidR="006B3AE3">
        <w:rPr>
          <w:rFonts w:hint="cs"/>
          <w:rtl/>
          <w:lang w:bidi="fa-IR"/>
        </w:rPr>
        <w:t xml:space="preserve">نمرة </w:t>
      </w:r>
      <w:r w:rsidR="006B3AE3">
        <w:rPr>
          <w:lang w:bidi="fa-IR"/>
        </w:rPr>
        <w:t>QRISK</w:t>
      </w:r>
      <w:r w:rsidR="006B3AE3">
        <w:rPr>
          <w:rFonts w:hint="cs"/>
          <w:rtl/>
          <w:lang w:bidi="fa-IR"/>
        </w:rPr>
        <w:t xml:space="preserve"> شامل متغیرهای دیگری است که برآورد ریسک برای بیماران دارای سابقة خانوادگی مثبت یا بیماران دریافت کنندة درمان ضدفشارخون را بهبود می بخشند. با این حال، چون اعتبارسنجی در جمعیتی مشابه با جمعیتی که الگوریتم از آن استخراج شده بود انجام شد، به طور بالقوه </w:t>
      </w:r>
      <w:r w:rsidR="007E7222">
        <w:rPr>
          <w:rFonts w:hint="cs"/>
          <w:rtl/>
          <w:lang w:bidi="fa-IR"/>
        </w:rPr>
        <w:t>مزیت میزبانی را دارد و نیازمند اعتبارسنجی بیشتر در سایر جمعیت ها است.</w:t>
      </w:r>
    </w:p>
    <w:p w14:paraId="3F8CD6CB" w14:textId="4C5F1219" w:rsidR="007E7222" w:rsidRDefault="000D7B73" w:rsidP="00431DB2">
      <w:pPr>
        <w:rPr>
          <w:b/>
          <w:bCs/>
          <w:rtl/>
          <w:lang w:bidi="fa-IR"/>
        </w:rPr>
      </w:pPr>
      <w:r>
        <w:rPr>
          <w:rFonts w:hint="cs"/>
          <w:b/>
          <w:bCs/>
          <w:rtl/>
          <w:lang w:bidi="fa-IR"/>
        </w:rPr>
        <w:t xml:space="preserve">2.3.8 نمرة </w:t>
      </w:r>
      <w:r>
        <w:rPr>
          <w:b/>
          <w:bCs/>
          <w:lang w:bidi="fa-IR"/>
        </w:rPr>
        <w:t>QRISK2</w:t>
      </w:r>
    </w:p>
    <w:p w14:paraId="76463666" w14:textId="7E7C372D" w:rsidR="000D7B73" w:rsidRDefault="00DF730D" w:rsidP="00431DB2">
      <w:pPr>
        <w:rPr>
          <w:rtl/>
          <w:lang w:bidi="fa-IR"/>
        </w:rPr>
      </w:pPr>
      <w:r>
        <w:rPr>
          <w:rFonts w:hint="cs"/>
          <w:rtl/>
          <w:lang w:bidi="fa-IR"/>
        </w:rPr>
        <w:t xml:space="preserve">در سال 2009، خدمات سلامت ملی انگلستان </w:t>
      </w:r>
      <w:r>
        <w:rPr>
          <w:lang w:bidi="fa-IR"/>
        </w:rPr>
        <w:t>(NHS)</w:t>
      </w:r>
      <w:r>
        <w:rPr>
          <w:rFonts w:hint="cs"/>
          <w:rtl/>
          <w:lang w:bidi="fa-IR"/>
        </w:rPr>
        <w:t xml:space="preserve"> شروع به استفاده از </w:t>
      </w:r>
      <w:r>
        <w:rPr>
          <w:lang w:bidi="fa-IR"/>
        </w:rPr>
        <w:t>QRISK2</w:t>
      </w:r>
      <w:r>
        <w:rPr>
          <w:rFonts w:hint="cs"/>
          <w:rtl/>
          <w:lang w:bidi="fa-IR"/>
        </w:rPr>
        <w:t xml:space="preserve"> در کل سیستم خود کرد، و از سال 2010، موسسة ملی سلامت و تعالی بالینی انگلستان </w:t>
      </w:r>
      <w:r>
        <w:rPr>
          <w:lang w:bidi="fa-IR"/>
        </w:rPr>
        <w:t>QRISK2</w:t>
      </w:r>
      <w:r>
        <w:rPr>
          <w:rFonts w:hint="cs"/>
          <w:rtl/>
          <w:lang w:bidi="fa-IR"/>
        </w:rPr>
        <w:t xml:space="preserve"> را به عنوان نمرة ریسک ترجیحی برای ارزیابی ریسک </w:t>
      </w:r>
      <w:r>
        <w:rPr>
          <w:lang w:bidi="fa-IR"/>
        </w:rPr>
        <w:t>CVD</w:t>
      </w:r>
      <w:r>
        <w:rPr>
          <w:rFonts w:hint="cs"/>
          <w:rtl/>
          <w:lang w:bidi="fa-IR"/>
        </w:rPr>
        <w:t xml:space="preserve"> توصیه کرده است (257). الگوریتم </w:t>
      </w:r>
      <w:r>
        <w:rPr>
          <w:lang w:bidi="fa-IR"/>
        </w:rPr>
        <w:t>QRISK2</w:t>
      </w:r>
      <w:r>
        <w:rPr>
          <w:rFonts w:hint="cs"/>
          <w:rtl/>
          <w:lang w:bidi="fa-IR"/>
        </w:rPr>
        <w:t xml:space="preserve"> شامل همة ریسک فاکتورهای اصلی بعلاوة قومیت گزارش شده توسط خود فرد، معیارهای محرومیت اجتماعی، </w:t>
      </w:r>
      <w:r>
        <w:rPr>
          <w:lang w:bidi="fa-IR"/>
        </w:rPr>
        <w:t>BMI</w:t>
      </w:r>
      <w:r>
        <w:rPr>
          <w:rFonts w:hint="cs"/>
          <w:rtl/>
          <w:lang w:bidi="fa-IR"/>
        </w:rPr>
        <w:t xml:space="preserve">، بیماری کلیوی مزمن، فیبریلاسیون دهلیزی، آرتریت روماتوئید، </w:t>
      </w:r>
      <w:r w:rsidR="004912DA">
        <w:rPr>
          <w:rFonts w:hint="cs"/>
          <w:rtl/>
          <w:lang w:bidi="fa-IR"/>
        </w:rPr>
        <w:t xml:space="preserve">و </w:t>
      </w:r>
      <w:r>
        <w:rPr>
          <w:rFonts w:hint="cs"/>
          <w:rtl/>
          <w:lang w:bidi="fa-IR"/>
        </w:rPr>
        <w:t xml:space="preserve">سابقة خانوادگی بیماری قلبی عروقی است. </w:t>
      </w:r>
      <w:r w:rsidR="000471B2">
        <w:rPr>
          <w:lang w:bidi="fa-IR"/>
        </w:rPr>
        <w:t>QRISK2</w:t>
      </w:r>
      <w:r w:rsidR="000471B2">
        <w:rPr>
          <w:rFonts w:hint="cs"/>
          <w:rtl/>
          <w:lang w:bidi="fa-IR"/>
        </w:rPr>
        <w:t xml:space="preserve"> از داده های 2.3 میلیون بیمار </w:t>
      </w:r>
      <w:proofErr w:type="gramStart"/>
      <w:r w:rsidR="000471B2">
        <w:rPr>
          <w:rFonts w:hint="cs"/>
          <w:rtl/>
          <w:lang w:bidi="fa-IR"/>
        </w:rPr>
        <w:t>35</w:t>
      </w:r>
      <w:proofErr w:type="gramEnd"/>
      <w:r w:rsidR="000471B2">
        <w:rPr>
          <w:rFonts w:hint="cs"/>
          <w:rtl/>
          <w:lang w:bidi="fa-IR"/>
        </w:rPr>
        <w:t xml:space="preserve"> تا 74 ساله با بیش از 16 میلیون نفر-سال و 140000 رخداد </w:t>
      </w:r>
      <w:r w:rsidR="000471B2">
        <w:rPr>
          <w:lang w:bidi="fa-IR"/>
        </w:rPr>
        <w:t>CVD</w:t>
      </w:r>
      <w:r w:rsidR="000471B2">
        <w:rPr>
          <w:rFonts w:hint="cs"/>
          <w:rtl/>
          <w:lang w:bidi="fa-IR"/>
        </w:rPr>
        <w:t xml:space="preserve"> توسعه یافت (257). جمعیت کلی (کوهورت های استخراج و اعتبارسنجی) شامل 2.22 میلیون نفر</w:t>
      </w:r>
      <w:r w:rsidR="000C6F94">
        <w:rPr>
          <w:rFonts w:hint="cs"/>
          <w:rtl/>
          <w:lang w:bidi="fa-IR"/>
        </w:rPr>
        <w:t xml:space="preserve"> (سفیدپوستان یا کسانی که قومیت آن ها گزارش نشده بود) بود: 22013 نفر آسیای جنوبی، 11595 آفریقایی سیاهپوست، 10402 سیاهپوست کارائیبی، و 19792 گروه های قومی چینی (257). </w:t>
      </w:r>
      <w:r w:rsidR="00C15E86">
        <w:rPr>
          <w:rFonts w:hint="cs"/>
          <w:rtl/>
          <w:lang w:bidi="fa-IR"/>
        </w:rPr>
        <w:t xml:space="preserve">اولین تشخیص </w:t>
      </w:r>
      <w:r w:rsidR="00DC51CE">
        <w:rPr>
          <w:rFonts w:hint="cs"/>
          <w:rtl/>
          <w:lang w:bidi="fa-IR"/>
        </w:rPr>
        <w:t xml:space="preserve">(وقوع) بیماری </w:t>
      </w:r>
      <w:r w:rsidR="00DC51CE">
        <w:rPr>
          <w:lang w:bidi="fa-IR"/>
        </w:rPr>
        <w:t>CVD</w:t>
      </w:r>
      <w:r w:rsidR="00DC51CE">
        <w:rPr>
          <w:rFonts w:hint="cs"/>
          <w:rtl/>
          <w:lang w:bidi="fa-IR"/>
        </w:rPr>
        <w:t xml:space="preserve"> (آنژین، انفارکشن میوکارد، و حملة ایسکمیک گذرا) در پرونده های عمومی مطب های ادارة آمار ملی گواهی فوت ثبت شد. </w:t>
      </w:r>
      <w:r w:rsidR="0077295C">
        <w:rPr>
          <w:rFonts w:hint="cs"/>
          <w:rtl/>
          <w:lang w:bidi="fa-IR"/>
        </w:rPr>
        <w:t xml:space="preserve">ریسک فاکتورها شامل قومیت گزارش شده توسط خود فرد، سن، جنسیت، وضعیت سیگار کشیدن، فشار خون سیستولی، نسبت </w:t>
      </w:r>
      <w:r w:rsidR="0077295C">
        <w:rPr>
          <w:lang w:bidi="fa-IR"/>
        </w:rPr>
        <w:t>TC/HDL</w:t>
      </w:r>
      <w:r w:rsidR="0077295C">
        <w:rPr>
          <w:rFonts w:hint="cs"/>
          <w:rtl/>
          <w:lang w:bidi="fa-IR"/>
        </w:rPr>
        <w:t xml:space="preserve">، </w:t>
      </w:r>
      <w:r w:rsidR="0077295C">
        <w:rPr>
          <w:lang w:bidi="fa-IR"/>
        </w:rPr>
        <w:t>BMI</w:t>
      </w:r>
      <w:r w:rsidR="0077295C">
        <w:rPr>
          <w:rFonts w:hint="cs"/>
          <w:rtl/>
          <w:lang w:bidi="fa-IR"/>
        </w:rPr>
        <w:t xml:space="preserve">، سابقة خانوادگی بیماری قلبی کرونری در وابستگان درجة اول زیر 60 سال، نمرة محرومیت تاونسند، هایپرتنشن درمان شده، </w:t>
      </w:r>
      <w:r w:rsidR="0077295C">
        <w:rPr>
          <w:lang w:bidi="fa-IR"/>
        </w:rPr>
        <w:t>T2DM</w:t>
      </w:r>
      <w:r w:rsidR="0077295C">
        <w:rPr>
          <w:rFonts w:hint="cs"/>
          <w:rtl/>
          <w:lang w:bidi="fa-IR"/>
        </w:rPr>
        <w:t>، بیماری کلیوی، فیبریلاسیون دهلیزی، و آرتریت روماتوئید بودند.</w:t>
      </w:r>
    </w:p>
    <w:p w14:paraId="7E5DB3DA" w14:textId="49646902" w:rsidR="0077295C" w:rsidRDefault="00D02A75" w:rsidP="00431DB2">
      <w:pPr>
        <w:rPr>
          <w:rtl/>
          <w:lang w:bidi="fa-IR"/>
        </w:rPr>
      </w:pPr>
      <w:r>
        <w:rPr>
          <w:rFonts w:hint="cs"/>
          <w:rtl/>
          <w:lang w:bidi="fa-IR"/>
        </w:rPr>
        <w:t xml:space="preserve">آمار اعتبارسنجی نشان داد که </w:t>
      </w:r>
      <w:r>
        <w:rPr>
          <w:lang w:bidi="fa-IR"/>
        </w:rPr>
        <w:t>QRISK2</w:t>
      </w:r>
      <w:r>
        <w:rPr>
          <w:rFonts w:hint="cs"/>
          <w:rtl/>
          <w:lang w:bidi="fa-IR"/>
        </w:rPr>
        <w:t xml:space="preserve"> </w:t>
      </w:r>
      <w:r w:rsidR="00C9294F">
        <w:rPr>
          <w:rFonts w:hint="cs"/>
          <w:rtl/>
          <w:lang w:bidi="fa-IR"/>
        </w:rPr>
        <w:t xml:space="preserve">تمییز و کالیبراسیون بهتری نسبت به </w:t>
      </w:r>
      <w:r w:rsidR="00C9294F">
        <w:rPr>
          <w:lang w:bidi="fa-IR"/>
        </w:rPr>
        <w:t>FRS</w:t>
      </w:r>
      <w:r w:rsidR="00C9294F">
        <w:rPr>
          <w:rFonts w:hint="cs"/>
          <w:rtl/>
          <w:lang w:bidi="fa-IR"/>
        </w:rPr>
        <w:t xml:space="preserve"> داشت. الگوریتم </w:t>
      </w:r>
      <w:r w:rsidR="00C9294F">
        <w:rPr>
          <w:lang w:bidi="fa-IR"/>
        </w:rPr>
        <w:t>QRISK2</w:t>
      </w:r>
      <w:r w:rsidR="00C9294F">
        <w:rPr>
          <w:rFonts w:hint="cs"/>
          <w:rtl/>
          <w:lang w:bidi="fa-IR"/>
        </w:rPr>
        <w:t xml:space="preserve"> 43 درصد از تغییرات در زنان و 38 درصد از تغییرات در مردان را توضیح داد، در حالی که این مقادیر برای </w:t>
      </w:r>
      <w:r w:rsidR="00C9294F">
        <w:rPr>
          <w:lang w:bidi="fa-IR"/>
        </w:rPr>
        <w:t>FRS</w:t>
      </w:r>
      <w:r w:rsidR="00C9294F">
        <w:rPr>
          <w:rFonts w:hint="cs"/>
          <w:rtl/>
          <w:lang w:bidi="fa-IR"/>
        </w:rPr>
        <w:t xml:space="preserve"> اصلاح شده به ترتیب 39% و 35% بودند (257). از 112156 بیمار طبقه بندی شده به عنوان پرریسک (بیش از 20% ریسک </w:t>
      </w:r>
      <w:r w:rsidR="00137138">
        <w:rPr>
          <w:rFonts w:hint="cs"/>
          <w:rtl/>
          <w:lang w:bidi="fa-IR"/>
        </w:rPr>
        <w:t xml:space="preserve">در 10 سال) توسط نمرة فرامینگهام، 46094 بیمار (41.1%) با </w:t>
      </w:r>
      <w:r w:rsidR="00137138">
        <w:rPr>
          <w:lang w:bidi="fa-IR"/>
        </w:rPr>
        <w:t>QRISK2</w:t>
      </w:r>
      <w:r w:rsidR="00137138">
        <w:rPr>
          <w:rFonts w:hint="cs"/>
          <w:rtl/>
          <w:lang w:bidi="fa-IR"/>
        </w:rPr>
        <w:t xml:space="preserve"> به عنوان کم ریسک طبقه بندی مجدد شدند (257). ریسک 10 ساله در میان این بیماران مجددا طبقه بندی شده 16.6% (</w:t>
      </w:r>
      <w:r w:rsidR="00137138">
        <w:rPr>
          <w:lang w:bidi="fa-IR"/>
        </w:rPr>
        <w:t>95%CI</w:t>
      </w:r>
      <w:r w:rsidR="00137138">
        <w:rPr>
          <w:rFonts w:hint="cs"/>
          <w:rtl/>
          <w:lang w:bidi="fa-IR"/>
        </w:rPr>
        <w:t xml:space="preserve"> بین 16.1 تا 17.0) بود، که کمتر از آستانة درمان 20% است. </w:t>
      </w:r>
    </w:p>
    <w:p w14:paraId="2C1D5FCC" w14:textId="42C356BC" w:rsidR="00A84546" w:rsidRDefault="00C83DEB" w:rsidP="00431DB2">
      <w:pPr>
        <w:rPr>
          <w:rtl/>
          <w:lang w:bidi="fa-IR"/>
        </w:rPr>
      </w:pPr>
      <w:r>
        <w:rPr>
          <w:rFonts w:hint="cs"/>
          <w:rtl/>
          <w:lang w:bidi="fa-IR"/>
        </w:rPr>
        <w:t xml:space="preserve">از 78024 بیمار طبقه بندی شده به عنوان پررسیک توسط </w:t>
      </w:r>
      <w:r>
        <w:rPr>
          <w:lang w:bidi="fa-IR"/>
        </w:rPr>
        <w:t>QRISK2</w:t>
      </w:r>
      <w:r>
        <w:rPr>
          <w:rFonts w:hint="cs"/>
          <w:rtl/>
          <w:lang w:bidi="fa-IR"/>
        </w:rPr>
        <w:t xml:space="preserve">، 11962 بیمار (15.3%) توسط </w:t>
      </w:r>
      <w:r>
        <w:rPr>
          <w:lang w:bidi="fa-IR"/>
        </w:rPr>
        <w:t>FRS</w:t>
      </w:r>
      <w:r>
        <w:rPr>
          <w:rFonts w:hint="cs"/>
          <w:rtl/>
          <w:lang w:bidi="fa-IR"/>
        </w:rPr>
        <w:t xml:space="preserve"> به عنوان کم ریسک طبقه بندی مجدد شدند (257). ریسک 10 ساله توسط </w:t>
      </w:r>
      <w:r>
        <w:rPr>
          <w:lang w:bidi="fa-IR"/>
        </w:rPr>
        <w:t>QRISK2</w:t>
      </w:r>
      <w:r>
        <w:rPr>
          <w:rFonts w:hint="cs"/>
          <w:rtl/>
          <w:lang w:bidi="fa-IR"/>
        </w:rPr>
        <w:t xml:space="preserve"> در میان این بیماران 23.3% (</w:t>
      </w:r>
      <w:r>
        <w:rPr>
          <w:lang w:bidi="fa-IR"/>
        </w:rPr>
        <w:t>95%CI</w:t>
      </w:r>
      <w:r>
        <w:rPr>
          <w:rFonts w:hint="cs"/>
          <w:rtl/>
          <w:lang w:bidi="fa-IR"/>
        </w:rPr>
        <w:t xml:space="preserve"> بین 22.2 تا 24.4) </w:t>
      </w:r>
      <w:r w:rsidR="004C3D4D">
        <w:rPr>
          <w:rFonts w:hint="cs"/>
          <w:rtl/>
          <w:lang w:bidi="fa-IR"/>
        </w:rPr>
        <w:t xml:space="preserve">بود، که بیش از آستانة درمان </w:t>
      </w:r>
      <w:r w:rsidR="00EA12D5">
        <w:rPr>
          <w:rFonts w:hint="cs"/>
          <w:rtl/>
          <w:lang w:bidi="fa-IR"/>
        </w:rPr>
        <w:t xml:space="preserve">20% </w:t>
      </w:r>
      <w:r w:rsidR="004C3D4D">
        <w:rPr>
          <w:rFonts w:hint="cs"/>
          <w:rtl/>
          <w:lang w:bidi="fa-IR"/>
        </w:rPr>
        <w:t>است</w:t>
      </w:r>
      <w:r w:rsidR="000256F2">
        <w:rPr>
          <w:rFonts w:hint="cs"/>
          <w:rtl/>
          <w:lang w:bidi="fa-IR"/>
        </w:rPr>
        <w:t xml:space="preserve"> (257). نرخ بروز سالانة رخدادهای </w:t>
      </w:r>
      <w:r w:rsidR="000256F2">
        <w:rPr>
          <w:lang w:bidi="fa-IR"/>
        </w:rPr>
        <w:t>CVD</w:t>
      </w:r>
      <w:r w:rsidR="000256F2">
        <w:rPr>
          <w:rFonts w:hint="cs"/>
          <w:rtl/>
          <w:lang w:bidi="fa-IR"/>
        </w:rPr>
        <w:t xml:space="preserve"> در میان افراد دارای نمرة </w:t>
      </w:r>
      <w:r w:rsidR="000256F2">
        <w:rPr>
          <w:lang w:bidi="fa-IR"/>
        </w:rPr>
        <w:t>QRISK2</w:t>
      </w:r>
      <w:r w:rsidR="000256F2">
        <w:rPr>
          <w:rFonts w:hint="cs"/>
          <w:rtl/>
          <w:lang w:bidi="fa-IR"/>
        </w:rPr>
        <w:t xml:space="preserve"> (بیش </w:t>
      </w:r>
      <w:r w:rsidR="000256F2">
        <w:rPr>
          <w:rFonts w:hint="cs"/>
          <w:rtl/>
          <w:lang w:bidi="fa-IR"/>
        </w:rPr>
        <w:lastRenderedPageBreak/>
        <w:t>از 20%)، 30.6 به ازای هر 1000 نفر-سال (</w:t>
      </w:r>
      <w:r w:rsidR="000256F2">
        <w:rPr>
          <w:lang w:bidi="fa-IR"/>
        </w:rPr>
        <w:t>95%CI</w:t>
      </w:r>
      <w:r w:rsidR="000256F2">
        <w:rPr>
          <w:rFonts w:hint="cs"/>
          <w:rtl/>
          <w:lang w:bidi="fa-IR"/>
        </w:rPr>
        <w:t xml:space="preserve"> بین 29.8 تا 31.5) در زنان، و 32.5 به ازای هر 1000 نفر-سال (</w:t>
      </w:r>
      <w:r w:rsidR="000256F2">
        <w:rPr>
          <w:lang w:bidi="fa-IR"/>
        </w:rPr>
        <w:t>95%CI</w:t>
      </w:r>
      <w:r w:rsidR="000256F2">
        <w:rPr>
          <w:rFonts w:hint="cs"/>
          <w:rtl/>
          <w:lang w:bidi="fa-IR"/>
        </w:rPr>
        <w:t xml:space="preserve"> بین 31.9 تا 33.1) در مردان بود</w:t>
      </w:r>
      <w:r w:rsidR="000F5782">
        <w:rPr>
          <w:rFonts w:hint="cs"/>
          <w:rtl/>
          <w:lang w:bidi="fa-IR"/>
        </w:rPr>
        <w:t xml:space="preserve"> (257). </w:t>
      </w:r>
      <w:r w:rsidR="00A57BE2">
        <w:rPr>
          <w:rFonts w:hint="cs"/>
          <w:rtl/>
          <w:lang w:bidi="fa-IR"/>
        </w:rPr>
        <w:t xml:space="preserve">ارقام مربوطه برای </w:t>
      </w:r>
      <w:r w:rsidR="00A57BE2">
        <w:rPr>
          <w:lang w:bidi="fa-IR"/>
        </w:rPr>
        <w:t>FRS</w:t>
      </w:r>
      <w:r w:rsidR="00A57BE2">
        <w:rPr>
          <w:rFonts w:hint="cs"/>
          <w:rtl/>
          <w:lang w:bidi="fa-IR"/>
        </w:rPr>
        <w:t xml:space="preserve"> به ترتیب 25.7 به ازای هر 1000 نفر-سال (</w:t>
      </w:r>
      <w:r w:rsidR="00A57BE2">
        <w:rPr>
          <w:lang w:bidi="fa-IR"/>
        </w:rPr>
        <w:t>95%CI</w:t>
      </w:r>
      <w:r w:rsidR="00A57BE2">
        <w:rPr>
          <w:rFonts w:hint="cs"/>
          <w:rtl/>
          <w:lang w:bidi="fa-IR"/>
        </w:rPr>
        <w:t xml:space="preserve"> بین 25.0 تا 26.3) برای زنان، و 26.4 به ازای هر 1000 نفر-سال (</w:t>
      </w:r>
      <w:r w:rsidR="00A57BE2">
        <w:rPr>
          <w:lang w:bidi="fa-IR"/>
        </w:rPr>
        <w:t>95%CI</w:t>
      </w:r>
      <w:r w:rsidR="00A57BE2">
        <w:rPr>
          <w:rFonts w:hint="cs"/>
          <w:rtl/>
          <w:lang w:bidi="fa-IR"/>
        </w:rPr>
        <w:t xml:space="preserve"> بین 26.0 تا 26.8) برای مردان بود (257)، که نشان می دهد نمرة </w:t>
      </w:r>
      <w:r w:rsidR="00A57BE2">
        <w:rPr>
          <w:lang w:bidi="fa-IR"/>
        </w:rPr>
        <w:t>QRISK2</w:t>
      </w:r>
      <w:r w:rsidR="00A57BE2">
        <w:rPr>
          <w:rFonts w:hint="cs"/>
          <w:rtl/>
          <w:lang w:bidi="fa-IR"/>
        </w:rPr>
        <w:t xml:space="preserve"> حساسیت بالاتری در برآورد ریسک و اختصاصیت بیشتری برای جمعیت های قومی دارد.</w:t>
      </w:r>
    </w:p>
    <w:p w14:paraId="5AE34808" w14:textId="2E8E3E92" w:rsidR="00A57BE2" w:rsidRDefault="00317AD3" w:rsidP="00431DB2">
      <w:pPr>
        <w:rPr>
          <w:rtl/>
          <w:lang w:bidi="fa-IR"/>
        </w:rPr>
      </w:pPr>
      <w:r>
        <w:rPr>
          <w:rFonts w:hint="cs"/>
          <w:rtl/>
          <w:lang w:bidi="fa-IR"/>
        </w:rPr>
        <w:t xml:space="preserve">محققان نتیجه گرفتند که گنجاندن قومیت، محرومیت، و سایر شرایط بالینی در الگوریتم </w:t>
      </w:r>
      <w:r>
        <w:rPr>
          <w:lang w:bidi="fa-IR"/>
        </w:rPr>
        <w:t>QRISK2</w:t>
      </w:r>
      <w:r>
        <w:rPr>
          <w:rFonts w:hint="cs"/>
          <w:rtl/>
          <w:lang w:bidi="fa-IR"/>
        </w:rPr>
        <w:t xml:space="preserve"> برای ریسک </w:t>
      </w:r>
      <w:r>
        <w:rPr>
          <w:lang w:bidi="fa-IR"/>
        </w:rPr>
        <w:t>CVD</w:t>
      </w:r>
      <w:r>
        <w:rPr>
          <w:rFonts w:hint="cs"/>
          <w:rtl/>
          <w:lang w:bidi="fa-IR"/>
        </w:rPr>
        <w:t xml:space="preserve"> باعث بهبود دقت شناسایی بیماران در معرض ریسک زیاد در جمعیت </w:t>
      </w:r>
      <w:r w:rsidR="00BE2967">
        <w:rPr>
          <w:rFonts w:hint="cs"/>
          <w:rtl/>
          <w:lang w:bidi="fa-IR"/>
        </w:rPr>
        <w:t xml:space="preserve">نمایندة ملی </w:t>
      </w:r>
      <w:r w:rsidR="00B4101B">
        <w:rPr>
          <w:rFonts w:hint="cs"/>
          <w:rtl/>
          <w:lang w:bidi="fa-IR"/>
        </w:rPr>
        <w:t xml:space="preserve">می شود. بنابراین، در آستانة 20%، </w:t>
      </w:r>
      <w:r w:rsidR="00B4101B">
        <w:rPr>
          <w:lang w:bidi="fa-IR"/>
        </w:rPr>
        <w:t>QRISK2</w:t>
      </w:r>
      <w:r w:rsidR="00B4101B">
        <w:rPr>
          <w:rFonts w:hint="cs"/>
          <w:rtl/>
          <w:lang w:bidi="fa-IR"/>
        </w:rPr>
        <w:t xml:space="preserve"> احتمالا ابزاری کارآمدتر و </w:t>
      </w:r>
      <w:r w:rsidR="00F437DF">
        <w:rPr>
          <w:rFonts w:hint="cs"/>
          <w:rtl/>
          <w:lang w:bidi="fa-IR"/>
        </w:rPr>
        <w:t>منصفانه تری برای تصمیمات درمانی برای پیشگیری اولیه از بیماری در کشورهای توسعه نیافته است.</w:t>
      </w:r>
    </w:p>
    <w:p w14:paraId="22034394" w14:textId="77751B1F" w:rsidR="00F437DF" w:rsidRDefault="001B4757" w:rsidP="00431DB2">
      <w:pPr>
        <w:rPr>
          <w:b/>
          <w:bCs/>
          <w:rtl/>
          <w:lang w:bidi="fa-IR"/>
        </w:rPr>
      </w:pPr>
      <w:r>
        <w:rPr>
          <w:rFonts w:hint="cs"/>
          <w:b/>
          <w:bCs/>
          <w:rtl/>
          <w:lang w:bidi="fa-IR"/>
        </w:rPr>
        <w:t>2.4 نقد نمرات ریسک</w:t>
      </w:r>
    </w:p>
    <w:p w14:paraId="629E749D" w14:textId="4C52FB81" w:rsidR="001B4757" w:rsidRDefault="001B4757" w:rsidP="00431DB2">
      <w:pPr>
        <w:rPr>
          <w:rtl/>
          <w:lang w:bidi="fa-IR"/>
        </w:rPr>
      </w:pPr>
      <w:r>
        <w:rPr>
          <w:rFonts w:hint="cs"/>
          <w:rtl/>
          <w:lang w:bidi="fa-IR"/>
        </w:rPr>
        <w:t xml:space="preserve">پیش بینی </w:t>
      </w:r>
      <w:r>
        <w:rPr>
          <w:lang w:bidi="fa-IR"/>
        </w:rPr>
        <w:t>CVD</w:t>
      </w:r>
      <w:r>
        <w:rPr>
          <w:rFonts w:hint="cs"/>
          <w:rtl/>
          <w:lang w:bidi="fa-IR"/>
        </w:rPr>
        <w:t xml:space="preserve"> با استفاده از دسته های ریسک فاکتور با دقت معقول قبلا به هنگام استفاده از معادلات پیش بینی </w:t>
      </w:r>
      <w:r>
        <w:rPr>
          <w:lang w:bidi="fa-IR"/>
        </w:rPr>
        <w:t>CHD</w:t>
      </w:r>
      <w:r>
        <w:rPr>
          <w:rFonts w:hint="cs"/>
          <w:rtl/>
          <w:lang w:bidi="fa-IR"/>
        </w:rPr>
        <w:t xml:space="preserve"> فرامینگهام اولیه روی نمونه های جمعیتی هونولولو، پورتوریکو، آلبانی، شیکاگو، لس آنجلس، مین</w:t>
      </w:r>
      <w:r w:rsidR="0027531D">
        <w:rPr>
          <w:rFonts w:hint="cs"/>
          <w:rtl/>
          <w:lang w:bidi="fa-IR"/>
        </w:rPr>
        <w:t>یاپولیس، تکومسه، گروه همکاری غربی، و یک کوهورت ملی نشان داده شده بود</w:t>
      </w:r>
      <w:r w:rsidR="00D911BA">
        <w:rPr>
          <w:rFonts w:hint="cs"/>
          <w:rtl/>
          <w:lang w:bidi="fa-IR"/>
        </w:rPr>
        <w:t xml:space="preserve"> (261-258). </w:t>
      </w:r>
      <w:r w:rsidR="006A66B7">
        <w:rPr>
          <w:rFonts w:hint="cs"/>
          <w:rtl/>
          <w:lang w:bidi="fa-IR"/>
        </w:rPr>
        <w:t xml:space="preserve">فالوآپ </w:t>
      </w:r>
      <w:r w:rsidR="006A66B7">
        <w:rPr>
          <w:lang w:bidi="fa-IR"/>
        </w:rPr>
        <w:t>FHS</w:t>
      </w:r>
      <w:r w:rsidR="006A66B7">
        <w:rPr>
          <w:rFonts w:hint="cs"/>
          <w:rtl/>
          <w:lang w:bidi="fa-IR"/>
        </w:rPr>
        <w:t xml:space="preserve"> نیز برای برآورد تجربة </w:t>
      </w:r>
      <w:r w:rsidR="006A66B7">
        <w:rPr>
          <w:lang w:bidi="fa-IR"/>
        </w:rPr>
        <w:t>CHD</w:t>
      </w:r>
      <w:r w:rsidR="006A66B7">
        <w:rPr>
          <w:rFonts w:hint="cs"/>
          <w:rtl/>
          <w:lang w:bidi="fa-IR"/>
        </w:rPr>
        <w:t xml:space="preserve"> در مردان شرکت کننده در کارآزمایی مداخلة ریسک فاکتورهای چندگانه استفاده شد (255).</w:t>
      </w:r>
    </w:p>
    <w:p w14:paraId="2687510B" w14:textId="3BB4083A" w:rsidR="006A66B7" w:rsidRDefault="00011BDC" w:rsidP="00431DB2">
      <w:pPr>
        <w:rPr>
          <w:rtl/>
          <w:lang w:bidi="fa-IR"/>
        </w:rPr>
      </w:pPr>
      <w:r>
        <w:rPr>
          <w:rFonts w:hint="cs"/>
          <w:rtl/>
          <w:lang w:bidi="fa-IR"/>
        </w:rPr>
        <w:t>نت</w:t>
      </w:r>
      <w:r w:rsidR="00143807">
        <w:rPr>
          <w:rFonts w:hint="cs"/>
          <w:rtl/>
          <w:lang w:bidi="fa-IR"/>
        </w:rPr>
        <w:t xml:space="preserve">یجه گیری محققان نشان داد که برآوردهای پیش بینی کرونری در داده های متمرکزتر قابلیت اعتماد بیشتری دارند و به خصوص در زمانی که افراد ناهنجاری های متعددی دارند که ممکن است به صورت هم افزا در جهت افزایش ریسک </w:t>
      </w:r>
      <w:r w:rsidR="00143807">
        <w:rPr>
          <w:lang w:bidi="fa-IR"/>
        </w:rPr>
        <w:t>CHD</w:t>
      </w:r>
      <w:r w:rsidR="00143807">
        <w:rPr>
          <w:rFonts w:hint="cs"/>
          <w:rtl/>
          <w:lang w:bidi="fa-IR"/>
        </w:rPr>
        <w:t xml:space="preserve"> عمل نمایند</w:t>
      </w:r>
      <w:r w:rsidR="00C047CA">
        <w:rPr>
          <w:rFonts w:hint="cs"/>
          <w:rtl/>
          <w:lang w:bidi="fa-IR"/>
        </w:rPr>
        <w:t>،</w:t>
      </w:r>
      <w:r w:rsidR="00143807">
        <w:rPr>
          <w:rFonts w:hint="cs"/>
          <w:rtl/>
          <w:lang w:bidi="fa-IR"/>
        </w:rPr>
        <w:t xml:space="preserve"> </w:t>
      </w:r>
      <w:r w:rsidR="00C047CA">
        <w:rPr>
          <w:rFonts w:hint="cs"/>
          <w:rtl/>
          <w:lang w:bidi="fa-IR"/>
        </w:rPr>
        <w:t>فایده دارند</w:t>
      </w:r>
      <w:r w:rsidR="00143807">
        <w:rPr>
          <w:rFonts w:hint="cs"/>
          <w:rtl/>
          <w:lang w:bidi="fa-IR"/>
        </w:rPr>
        <w:t xml:space="preserve">. </w:t>
      </w:r>
      <w:r w:rsidR="009E1692">
        <w:rPr>
          <w:rFonts w:hint="cs"/>
          <w:rtl/>
          <w:lang w:bidi="fa-IR"/>
        </w:rPr>
        <w:t xml:space="preserve">پزشکان باید در تعمیم تجربة </w:t>
      </w:r>
      <w:r w:rsidR="009E1692">
        <w:rPr>
          <w:lang w:bidi="fa-IR"/>
        </w:rPr>
        <w:t>FHS</w:t>
      </w:r>
      <w:r w:rsidR="0064750E">
        <w:rPr>
          <w:rFonts w:hint="cs"/>
          <w:rtl/>
          <w:lang w:bidi="fa-IR"/>
        </w:rPr>
        <w:t>، که یک نمونة جامعه از افراد سفیدپوست حومة بوستون در ایالات متحده بود، احتیاط نمایند، زیرا استفاده از مدل های پیش بینی برای افرادی مشابه با نمونة مطالعه مناسب تر خواهد بود (255).</w:t>
      </w:r>
    </w:p>
    <w:p w14:paraId="04AC5D8F" w14:textId="5C9560E4" w:rsidR="0064750E" w:rsidRDefault="00661BE9" w:rsidP="00431DB2">
      <w:pPr>
        <w:rPr>
          <w:rtl/>
          <w:lang w:bidi="fa-IR"/>
        </w:rPr>
      </w:pPr>
      <w:r>
        <w:rPr>
          <w:rFonts w:hint="cs"/>
          <w:rtl/>
          <w:lang w:bidi="fa-IR"/>
        </w:rPr>
        <w:t xml:space="preserve">یک مطالعة دیگر که پیش بینی </w:t>
      </w:r>
      <w:r>
        <w:rPr>
          <w:lang w:bidi="fa-IR"/>
        </w:rPr>
        <w:t>CHD</w:t>
      </w:r>
      <w:r>
        <w:rPr>
          <w:rFonts w:hint="cs"/>
          <w:rtl/>
          <w:lang w:bidi="fa-IR"/>
        </w:rPr>
        <w:t xml:space="preserve"> را با استفاده از </w:t>
      </w:r>
      <w:r>
        <w:rPr>
          <w:lang w:bidi="fa-IR"/>
        </w:rPr>
        <w:t>TC</w:t>
      </w:r>
      <w:r>
        <w:rPr>
          <w:rFonts w:hint="cs"/>
          <w:rtl/>
          <w:lang w:bidi="fa-IR"/>
        </w:rPr>
        <w:t xml:space="preserve">، </w:t>
      </w:r>
      <w:r>
        <w:rPr>
          <w:lang w:bidi="fa-IR"/>
        </w:rPr>
        <w:t>LDL</w:t>
      </w:r>
      <w:r>
        <w:rPr>
          <w:rFonts w:hint="cs"/>
          <w:rtl/>
          <w:lang w:bidi="fa-IR"/>
        </w:rPr>
        <w:t xml:space="preserve">، نسبت </w:t>
      </w:r>
      <w:r>
        <w:rPr>
          <w:lang w:bidi="fa-IR"/>
        </w:rPr>
        <w:t>TC/HDL</w:t>
      </w:r>
      <w:r>
        <w:rPr>
          <w:rFonts w:hint="cs"/>
          <w:rtl/>
          <w:lang w:bidi="fa-IR"/>
        </w:rPr>
        <w:t xml:space="preserve">، و نسبت </w:t>
      </w:r>
      <w:r>
        <w:rPr>
          <w:lang w:bidi="fa-IR"/>
        </w:rPr>
        <w:t>LDL/HDL</w:t>
      </w:r>
      <w:r>
        <w:rPr>
          <w:rFonts w:hint="cs"/>
          <w:rtl/>
          <w:lang w:bidi="fa-IR"/>
        </w:rPr>
        <w:t xml:space="preserve"> در نظر گرفت، نتیجه گرفت که نسبت </w:t>
      </w:r>
      <w:r>
        <w:rPr>
          <w:lang w:bidi="fa-IR"/>
        </w:rPr>
        <w:t>TC/HDL</w:t>
      </w:r>
      <w:r>
        <w:rPr>
          <w:rFonts w:hint="cs"/>
          <w:rtl/>
          <w:lang w:bidi="fa-IR"/>
        </w:rPr>
        <w:t xml:space="preserve"> نسبت به </w:t>
      </w:r>
      <w:r>
        <w:rPr>
          <w:lang w:bidi="fa-IR"/>
        </w:rPr>
        <w:t>TC</w:t>
      </w:r>
      <w:r>
        <w:rPr>
          <w:rFonts w:hint="cs"/>
          <w:rtl/>
          <w:lang w:bidi="fa-IR"/>
        </w:rPr>
        <w:t xml:space="preserve"> و </w:t>
      </w:r>
      <w:r>
        <w:rPr>
          <w:lang w:bidi="fa-IR"/>
        </w:rPr>
        <w:t>LDL</w:t>
      </w:r>
      <w:r>
        <w:rPr>
          <w:rFonts w:hint="cs"/>
          <w:rtl/>
          <w:lang w:bidi="fa-IR"/>
        </w:rPr>
        <w:t xml:space="preserve"> تنها معیار برتری از ریسک بود، همچنین این مطالعه نشان داد که دستورالعمل ها برای طبقه بندی کارآمدتر ریسک </w:t>
      </w:r>
      <w:r w:rsidR="00062A68">
        <w:rPr>
          <w:rFonts w:hint="cs"/>
          <w:rtl/>
          <w:lang w:bidi="fa-IR"/>
        </w:rPr>
        <w:t xml:space="preserve">به جای این که صرفا روی مقادیر </w:t>
      </w:r>
      <w:r w:rsidR="00062A68">
        <w:rPr>
          <w:lang w:bidi="fa-IR"/>
        </w:rPr>
        <w:t>LDL</w:t>
      </w:r>
      <w:r w:rsidR="00062A68">
        <w:rPr>
          <w:rFonts w:hint="cs"/>
          <w:rtl/>
          <w:lang w:bidi="fa-IR"/>
        </w:rPr>
        <w:t xml:space="preserve"> متمرکز باشند، باید روی نسبت </w:t>
      </w:r>
      <w:r w:rsidR="00062A68">
        <w:rPr>
          <w:lang w:bidi="fa-IR"/>
        </w:rPr>
        <w:t>TC/HDL</w:t>
      </w:r>
      <w:r w:rsidR="00062A68">
        <w:rPr>
          <w:rFonts w:hint="cs"/>
          <w:rtl/>
          <w:lang w:bidi="fa-IR"/>
        </w:rPr>
        <w:t xml:space="preserve"> متمرکز شوند (262). </w:t>
      </w:r>
      <w:r w:rsidR="000F468D">
        <w:rPr>
          <w:rFonts w:hint="cs"/>
          <w:rtl/>
          <w:lang w:bidi="fa-IR"/>
        </w:rPr>
        <w:t xml:space="preserve">چنین رویکردی جذاب به نظر می رسد، اما در دو انتهای طیف توزیع </w:t>
      </w:r>
      <w:r w:rsidR="000F468D">
        <w:rPr>
          <w:lang w:bidi="fa-IR"/>
        </w:rPr>
        <w:t>TC</w:t>
      </w:r>
      <w:r w:rsidR="000F468D">
        <w:rPr>
          <w:rFonts w:hint="cs"/>
          <w:rtl/>
          <w:lang w:bidi="fa-IR"/>
        </w:rPr>
        <w:t xml:space="preserve"> و </w:t>
      </w:r>
      <w:r w:rsidR="000F468D">
        <w:rPr>
          <w:lang w:bidi="fa-IR"/>
        </w:rPr>
        <w:t>LDL</w:t>
      </w:r>
      <w:r w:rsidR="000F468D">
        <w:rPr>
          <w:rFonts w:hint="cs"/>
          <w:rtl/>
          <w:lang w:bidi="fa-IR"/>
        </w:rPr>
        <w:t xml:space="preserve">، نسبت های مساوی ممکن است ریسک </w:t>
      </w:r>
      <w:r w:rsidR="000F468D">
        <w:rPr>
          <w:lang w:bidi="fa-IR"/>
        </w:rPr>
        <w:t>CVD</w:t>
      </w:r>
      <w:r w:rsidR="000F468D">
        <w:rPr>
          <w:rFonts w:hint="cs"/>
          <w:rtl/>
          <w:lang w:bidi="fa-IR"/>
        </w:rPr>
        <w:t xml:space="preserve"> یکسانی را نشان ندهند. </w:t>
      </w:r>
      <w:r w:rsidR="00CE6D37">
        <w:rPr>
          <w:rFonts w:hint="cs"/>
          <w:rtl/>
          <w:lang w:bidi="fa-IR"/>
        </w:rPr>
        <w:t xml:space="preserve">علاوه بر این، استفاده از یک نسبت </w:t>
      </w:r>
      <w:r w:rsidR="00C37586">
        <w:rPr>
          <w:rFonts w:hint="cs"/>
          <w:rtl/>
          <w:lang w:bidi="fa-IR"/>
        </w:rPr>
        <w:t xml:space="preserve">در مقایسه با مقادیر مجزا برای </w:t>
      </w:r>
      <w:r w:rsidR="00C37586">
        <w:rPr>
          <w:lang w:bidi="fa-IR"/>
        </w:rPr>
        <w:t>TC</w:t>
      </w:r>
      <w:r w:rsidR="00C37586">
        <w:rPr>
          <w:rFonts w:hint="cs"/>
          <w:rtl/>
          <w:lang w:bidi="fa-IR"/>
        </w:rPr>
        <w:t xml:space="preserve">، </w:t>
      </w:r>
      <w:r w:rsidR="00C37586">
        <w:rPr>
          <w:lang w:bidi="fa-IR"/>
        </w:rPr>
        <w:t>LDL</w:t>
      </w:r>
      <w:r w:rsidR="00C37586">
        <w:rPr>
          <w:rFonts w:hint="cs"/>
          <w:rtl/>
          <w:lang w:bidi="fa-IR"/>
        </w:rPr>
        <w:t xml:space="preserve">، و </w:t>
      </w:r>
      <w:r w:rsidR="00C37586">
        <w:rPr>
          <w:lang w:bidi="fa-IR"/>
        </w:rPr>
        <w:t>HDL</w:t>
      </w:r>
      <w:r w:rsidR="00C37586">
        <w:rPr>
          <w:rFonts w:hint="cs"/>
          <w:rtl/>
          <w:lang w:bidi="fa-IR"/>
        </w:rPr>
        <w:t xml:space="preserve"> </w:t>
      </w:r>
      <w:r w:rsidR="00BA44D6">
        <w:rPr>
          <w:rFonts w:hint="cs"/>
          <w:rtl/>
          <w:lang w:bidi="fa-IR"/>
        </w:rPr>
        <w:t xml:space="preserve">کار تمرکز را برای پزشک سخت می کند، که باید برای گرفتن تصمیمات بالینی در رابطه با درمان در نظر داشت. علاوه بر این، برآورد ریسک </w:t>
      </w:r>
      <w:r w:rsidR="00BA44D6">
        <w:rPr>
          <w:lang w:bidi="fa-IR"/>
        </w:rPr>
        <w:t>CVD</w:t>
      </w:r>
      <w:r w:rsidR="00BA44D6">
        <w:rPr>
          <w:rFonts w:hint="cs"/>
          <w:rtl/>
          <w:lang w:bidi="fa-IR"/>
        </w:rPr>
        <w:t xml:space="preserve"> و سایر رخدادهای </w:t>
      </w:r>
      <w:r w:rsidR="00BA44D6">
        <w:rPr>
          <w:lang w:bidi="fa-IR"/>
        </w:rPr>
        <w:t>CVD</w:t>
      </w:r>
      <w:r w:rsidR="00BA44D6">
        <w:rPr>
          <w:rFonts w:hint="cs"/>
          <w:rtl/>
          <w:lang w:bidi="fa-IR"/>
        </w:rPr>
        <w:t xml:space="preserve"> فرآیندی پویا و شامل چندین زمینه و تخصص است. </w:t>
      </w:r>
    </w:p>
    <w:p w14:paraId="69B30136" w14:textId="19652CF2" w:rsidR="006F4BF3" w:rsidRDefault="00D535A1" w:rsidP="00431DB2">
      <w:pPr>
        <w:rPr>
          <w:b/>
          <w:bCs/>
          <w:rtl/>
          <w:lang w:bidi="fa-IR"/>
        </w:rPr>
      </w:pPr>
      <w:r>
        <w:rPr>
          <w:rFonts w:hint="cs"/>
          <w:b/>
          <w:bCs/>
          <w:rtl/>
          <w:lang w:bidi="fa-IR"/>
        </w:rPr>
        <w:t xml:space="preserve">2.5 ارزیابی ریسک فاکتور و ریسک </w:t>
      </w:r>
      <w:r>
        <w:rPr>
          <w:b/>
          <w:bCs/>
          <w:lang w:bidi="fa-IR"/>
        </w:rPr>
        <w:t>CVD</w:t>
      </w:r>
    </w:p>
    <w:p w14:paraId="5979F44A" w14:textId="12C913F8" w:rsidR="00D535A1" w:rsidRDefault="00D535A1" w:rsidP="00431DB2">
      <w:pPr>
        <w:rPr>
          <w:rtl/>
          <w:lang w:bidi="fa-IR"/>
        </w:rPr>
      </w:pPr>
      <w:r>
        <w:rPr>
          <w:rFonts w:hint="cs"/>
          <w:rtl/>
          <w:lang w:bidi="fa-IR"/>
        </w:rPr>
        <w:t xml:space="preserve">با افزایش بار جهانی </w:t>
      </w:r>
      <w:r>
        <w:rPr>
          <w:lang w:bidi="fa-IR"/>
        </w:rPr>
        <w:t>CVD</w:t>
      </w:r>
      <w:r>
        <w:rPr>
          <w:rFonts w:hint="cs"/>
          <w:rtl/>
          <w:lang w:bidi="fa-IR"/>
        </w:rPr>
        <w:t xml:space="preserve"> و سکونت 80% جمعیت جهان در کشورهای در حال توسعه یا توسعه نیافته (221-219)، نظرسنجی های انجام شده برای ثبت و مستندسازی سیستماتیک شیوع موربیدیته و مورتالیتة ناشی از بیماری قلبی در جمعیت عمومی </w:t>
      </w:r>
      <w:r>
        <w:rPr>
          <w:rFonts w:hint="cs"/>
          <w:rtl/>
          <w:lang w:bidi="fa-IR"/>
        </w:rPr>
        <w:lastRenderedPageBreak/>
        <w:t xml:space="preserve">اهمیت می یابند. </w:t>
      </w:r>
      <w:r w:rsidR="00912DEE">
        <w:rPr>
          <w:rFonts w:hint="cs"/>
          <w:rtl/>
          <w:lang w:bidi="fa-IR"/>
        </w:rPr>
        <w:t>نظرسنجی های جمعیتی برای تعیین شیوع کنونی و روندها در طول زمان به اندازة دوران پس از جنگ جهانی</w:t>
      </w:r>
      <w:r w:rsidR="00EE1BA6">
        <w:rPr>
          <w:rFonts w:hint="cs"/>
          <w:rtl/>
          <w:lang w:bidi="fa-IR"/>
        </w:rPr>
        <w:t xml:space="preserve"> اهمیت دارند</w:t>
      </w:r>
      <w:r w:rsidR="00654E48">
        <w:rPr>
          <w:rFonts w:hint="cs"/>
          <w:rtl/>
          <w:lang w:bidi="fa-IR"/>
        </w:rPr>
        <w:t xml:space="preserve">، </w:t>
      </w:r>
      <w:r w:rsidR="00EE1BA6">
        <w:rPr>
          <w:rFonts w:hint="cs"/>
          <w:rtl/>
          <w:lang w:bidi="fa-IR"/>
        </w:rPr>
        <w:t>در آن دوران</w:t>
      </w:r>
      <w:r w:rsidR="00654E48">
        <w:rPr>
          <w:rFonts w:hint="cs"/>
          <w:rtl/>
          <w:lang w:bidi="fa-IR"/>
        </w:rPr>
        <w:t xml:space="preserve"> </w:t>
      </w:r>
      <w:r w:rsidR="00654E48">
        <w:rPr>
          <w:lang w:bidi="fa-IR"/>
        </w:rPr>
        <w:t>FHS</w:t>
      </w:r>
      <w:r w:rsidR="00654E48">
        <w:rPr>
          <w:rFonts w:hint="cs"/>
          <w:rtl/>
          <w:lang w:bidi="fa-IR"/>
        </w:rPr>
        <w:t xml:space="preserve"> به صورت یک نظرسنجی شروع شد و به دلیل کمکی که داده های آن در درک ریسک فاکتورهای </w:t>
      </w:r>
      <w:r w:rsidR="00654E48">
        <w:rPr>
          <w:lang w:bidi="fa-IR"/>
        </w:rPr>
        <w:t>CVD</w:t>
      </w:r>
      <w:r w:rsidR="00654E48">
        <w:rPr>
          <w:rFonts w:hint="cs"/>
          <w:rtl/>
          <w:lang w:bidi="fa-IR"/>
        </w:rPr>
        <w:t xml:space="preserve"> و نمرة ریسک ایجاد </w:t>
      </w:r>
      <w:r w:rsidR="00654E48">
        <w:rPr>
          <w:lang w:bidi="fa-IR"/>
        </w:rPr>
        <w:t>CVD</w:t>
      </w:r>
      <w:r w:rsidR="00654E48">
        <w:rPr>
          <w:rFonts w:hint="cs"/>
          <w:rtl/>
          <w:lang w:bidi="fa-IR"/>
        </w:rPr>
        <w:t xml:space="preserve"> در طول زمان (5، 10، و 30 ساله) در یک جمعیت مردان سفیدپوست همگون در ایالات متحده </w:t>
      </w:r>
      <w:r w:rsidR="00A32F0D">
        <w:rPr>
          <w:rFonts w:hint="cs"/>
          <w:rtl/>
          <w:lang w:bidi="fa-IR"/>
        </w:rPr>
        <w:t>کردند، ریشه های خود را توسعه داد (233، 218، 271).</w:t>
      </w:r>
    </w:p>
    <w:p w14:paraId="470FCD30" w14:textId="1C329298" w:rsidR="00A32F0D" w:rsidRDefault="00AB01CB" w:rsidP="00431DB2">
      <w:pPr>
        <w:rPr>
          <w:rtl/>
          <w:lang w:bidi="fa-IR"/>
        </w:rPr>
      </w:pPr>
      <w:r>
        <w:rPr>
          <w:rFonts w:hint="cs"/>
          <w:rtl/>
          <w:lang w:bidi="fa-IR"/>
        </w:rPr>
        <w:t xml:space="preserve">انبوه دانش و خرد به دست آمده از </w:t>
      </w:r>
      <w:r>
        <w:rPr>
          <w:lang w:bidi="fa-IR"/>
        </w:rPr>
        <w:t>FHS</w:t>
      </w:r>
      <w:r>
        <w:rPr>
          <w:rFonts w:hint="cs"/>
          <w:rtl/>
          <w:lang w:bidi="fa-IR"/>
        </w:rPr>
        <w:t xml:space="preserve"> بلافاصله منجر به توسعة مطالعة هفت کشوری با استفاده از یک پروتکل و روش شناسی ثابت به منظور گردآوری داده ها با مقایسة نرخ و ریسک فاکتورهای بین المللی، تاکید و اعتبارسنجی ریسک فاکتورها و ریسک ایجاد </w:t>
      </w:r>
      <w:r>
        <w:rPr>
          <w:lang w:bidi="fa-IR"/>
        </w:rPr>
        <w:t>CVD</w:t>
      </w:r>
      <w:r>
        <w:rPr>
          <w:rFonts w:hint="cs"/>
          <w:rtl/>
          <w:lang w:bidi="fa-IR"/>
        </w:rPr>
        <w:t xml:space="preserve"> در آن هفت کشور</w:t>
      </w:r>
      <w:r w:rsidR="00C506C6">
        <w:rPr>
          <w:rFonts w:hint="cs"/>
          <w:rtl/>
          <w:lang w:bidi="fa-IR"/>
        </w:rPr>
        <w:t xml:space="preserve">، شد (272). </w:t>
      </w:r>
      <w:r w:rsidR="00CA1768">
        <w:rPr>
          <w:rFonts w:hint="cs"/>
          <w:rtl/>
          <w:lang w:bidi="fa-IR"/>
        </w:rPr>
        <w:t>از آن پس، چندین محاسبه گر توسعه یافته، اصلاح شده، و اعتبارسنجی شدند تا به متخصصین مراقبت سلامت و سیاست گذاران آن</w:t>
      </w:r>
      <w:r w:rsidR="00325867">
        <w:rPr>
          <w:rFonts w:hint="cs"/>
          <w:rtl/>
          <w:lang w:bidi="fa-IR"/>
        </w:rPr>
        <w:t xml:space="preserve"> برای توسعه و پیاده سازی مداخلات پیشگیرانه و درمان در غرب</w:t>
      </w:r>
      <w:r w:rsidR="00CA1768">
        <w:rPr>
          <w:rFonts w:hint="cs"/>
          <w:rtl/>
          <w:lang w:bidi="fa-IR"/>
        </w:rPr>
        <w:t xml:space="preserve"> اعتماد به نفس </w:t>
      </w:r>
      <w:r w:rsidR="00325867">
        <w:rPr>
          <w:rFonts w:hint="cs"/>
          <w:rtl/>
          <w:lang w:bidi="fa-IR"/>
        </w:rPr>
        <w:t>کسب کنند.</w:t>
      </w:r>
    </w:p>
    <w:p w14:paraId="5B2EA3CA" w14:textId="699C3D25" w:rsidR="00325867" w:rsidRDefault="002C26AF" w:rsidP="00431DB2">
      <w:pPr>
        <w:rPr>
          <w:rtl/>
          <w:lang w:bidi="fa-IR"/>
        </w:rPr>
      </w:pPr>
      <w:r>
        <w:rPr>
          <w:rFonts w:hint="cs"/>
          <w:rtl/>
          <w:lang w:bidi="fa-IR"/>
        </w:rPr>
        <w:t xml:space="preserve">در جهان در حال توسعه، مطالعات اپیدمیولوژیکی مقطعی اطلاعات محدود اما مهمی دربارة روندهای ریسک فاکتورهای </w:t>
      </w:r>
      <w:r>
        <w:rPr>
          <w:lang w:bidi="fa-IR"/>
        </w:rPr>
        <w:t>CVD</w:t>
      </w:r>
      <w:r>
        <w:rPr>
          <w:rFonts w:hint="cs"/>
          <w:rtl/>
          <w:lang w:bidi="fa-IR"/>
        </w:rPr>
        <w:t xml:space="preserve"> و ریسک فاکتورهای مرتبط با </w:t>
      </w:r>
      <w:r>
        <w:rPr>
          <w:lang w:bidi="fa-IR"/>
        </w:rPr>
        <w:t>CVD</w:t>
      </w:r>
      <w:r>
        <w:rPr>
          <w:rFonts w:hint="cs"/>
          <w:rtl/>
          <w:lang w:bidi="fa-IR"/>
        </w:rPr>
        <w:t xml:space="preserve"> در میان سالمندان شش کشور با درآمد کم و متوسط</w:t>
      </w:r>
      <w:r w:rsidR="00924A19">
        <w:rPr>
          <w:rFonts w:hint="cs"/>
          <w:rtl/>
          <w:lang w:bidi="fa-IR"/>
        </w:rPr>
        <w:t xml:space="preserve"> فراهم کرده و همچنین فراهم می کنند</w:t>
      </w:r>
      <w:r w:rsidR="00361BBB">
        <w:rPr>
          <w:rFonts w:hint="cs"/>
          <w:rtl/>
          <w:lang w:bidi="fa-IR"/>
        </w:rPr>
        <w:t xml:space="preserve"> (273). </w:t>
      </w:r>
      <w:r w:rsidR="00770DA1">
        <w:rPr>
          <w:rFonts w:hint="cs"/>
          <w:rtl/>
          <w:lang w:bidi="fa-IR"/>
        </w:rPr>
        <w:t xml:space="preserve">مطالعات مقطعی مشابه بسیاری که انجام آن ها راحت تر و هزینه های آن ها کمتر از مطالعات کوهورت در اروپا، آمریکای لاتین، و جنوب آسیا بودند داده های استوار و مفیدی دربارة </w:t>
      </w:r>
      <w:r w:rsidR="00770DA1">
        <w:rPr>
          <w:lang w:bidi="fa-IR"/>
        </w:rPr>
        <w:t>CVD</w:t>
      </w:r>
      <w:r w:rsidR="00770DA1">
        <w:rPr>
          <w:rFonts w:hint="cs"/>
          <w:rtl/>
          <w:lang w:bidi="fa-IR"/>
        </w:rPr>
        <w:t xml:space="preserve"> و روندهای ریسک فاکتورها فراهم کرده اند. این مطالعات مقطعی گزارش کرده اند که </w:t>
      </w:r>
      <w:r w:rsidR="00770DA1">
        <w:rPr>
          <w:lang w:bidi="fa-IR"/>
        </w:rPr>
        <w:t>CVD</w:t>
      </w:r>
      <w:r w:rsidR="00770DA1">
        <w:rPr>
          <w:rFonts w:hint="cs"/>
          <w:rtl/>
          <w:lang w:bidi="fa-IR"/>
        </w:rPr>
        <w:t xml:space="preserve"> و ریسک فاکتورها از روند مشخص مشابه با کشورهای </w:t>
      </w:r>
      <w:r w:rsidR="00F66EE6">
        <w:rPr>
          <w:rFonts w:hint="cs"/>
          <w:rtl/>
          <w:lang w:bidi="fa-IR"/>
        </w:rPr>
        <w:t>با درآمد زیاد پیروی می کنند (280-274).</w:t>
      </w:r>
    </w:p>
    <w:p w14:paraId="29E2A7AF" w14:textId="20722771" w:rsidR="00F66EE6" w:rsidRDefault="00286D85" w:rsidP="00431DB2">
      <w:pPr>
        <w:rPr>
          <w:b/>
          <w:bCs/>
          <w:rtl/>
          <w:lang w:bidi="fa-IR"/>
        </w:rPr>
      </w:pPr>
      <w:r>
        <w:rPr>
          <w:rFonts w:hint="cs"/>
          <w:b/>
          <w:bCs/>
          <w:rtl/>
          <w:lang w:bidi="fa-IR"/>
        </w:rPr>
        <w:t>2.5.1 نمره های ریسک در آسیا</w:t>
      </w:r>
    </w:p>
    <w:p w14:paraId="565FD398" w14:textId="74B10EC0" w:rsidR="00286D85" w:rsidRDefault="0007657F" w:rsidP="00431DB2">
      <w:pPr>
        <w:rPr>
          <w:rtl/>
          <w:lang w:bidi="fa-IR"/>
        </w:rPr>
      </w:pPr>
      <w:r>
        <w:rPr>
          <w:rFonts w:hint="cs"/>
          <w:rtl/>
          <w:lang w:bidi="fa-IR"/>
        </w:rPr>
        <w:t xml:space="preserve">تقریبا 80% (221-219) از </w:t>
      </w:r>
      <w:r>
        <w:rPr>
          <w:lang w:bidi="fa-IR"/>
        </w:rPr>
        <w:t>CVD</w:t>
      </w:r>
      <w:r>
        <w:rPr>
          <w:rFonts w:hint="cs"/>
          <w:rtl/>
          <w:lang w:bidi="fa-IR"/>
        </w:rPr>
        <w:t xml:space="preserve"> و مورتالیتة مرتبط با </w:t>
      </w:r>
      <w:r>
        <w:rPr>
          <w:lang w:bidi="fa-IR"/>
        </w:rPr>
        <w:t>CVD</w:t>
      </w:r>
      <w:r>
        <w:rPr>
          <w:rFonts w:hint="cs"/>
          <w:rtl/>
          <w:lang w:bidi="fa-IR"/>
        </w:rPr>
        <w:t xml:space="preserve"> در کشورهای در حال توسعة آسیا، خاورمیانه، و آفریقا رخ</w:t>
      </w:r>
      <w:r w:rsidR="00362581">
        <w:rPr>
          <w:rFonts w:hint="cs"/>
          <w:rtl/>
          <w:lang w:bidi="fa-IR"/>
        </w:rPr>
        <w:t xml:space="preserve"> می دهند، با این حال تا سال 2021، فقط دستورالعمل های چینی و ژاپنی وجود دارند (222، 223). دستورالعمل های چینی و ژاپنی موجود مبتنی بر نتایج مطالعات غربی هستند که از محاسبات ریسک 10 سالة </w:t>
      </w:r>
      <w:r w:rsidR="00362581">
        <w:rPr>
          <w:lang w:bidi="fa-IR"/>
        </w:rPr>
        <w:t>CVD</w:t>
      </w:r>
      <w:r w:rsidR="00362581">
        <w:rPr>
          <w:rFonts w:hint="cs"/>
          <w:rtl/>
          <w:lang w:bidi="fa-IR"/>
        </w:rPr>
        <w:t xml:space="preserve"> استفاده می کنند، و همچنین شامل نتایج مطالعات انجام شده روی جمعیت های کشور آسیایی مربوطه نیز می باشند. با این وجود، </w:t>
      </w:r>
      <w:r w:rsidR="004604E7">
        <w:rPr>
          <w:rFonts w:hint="cs"/>
          <w:rtl/>
          <w:lang w:bidi="fa-IR"/>
        </w:rPr>
        <w:t xml:space="preserve">استفاده از این ابزارهای ریسک در جمعیت آسیایی نشان دهندة برآورد کم تر از واقع ریسک است، زیرا این مدل ها از گروه های پرریسک آسیایی استخراج نشده یا در آن ها اعتبارسنجی نشده اند (263، 264). یک ارزیابی تطبیقی مدل های مختلف </w:t>
      </w:r>
      <w:r w:rsidR="008D4101">
        <w:rPr>
          <w:rFonts w:hint="cs"/>
          <w:rtl/>
          <w:lang w:bidi="fa-IR"/>
        </w:rPr>
        <w:t>در 1110 شرکت کنندة هندی ریسک های 10 سالة بیش از 20% را نشان داد، که 51.9% (</w:t>
      </w:r>
      <w:r w:rsidR="008D4101">
        <w:rPr>
          <w:lang w:bidi="fa-IR"/>
        </w:rPr>
        <w:t>FRS-CVD</w:t>
      </w:r>
      <w:r w:rsidR="008D4101">
        <w:rPr>
          <w:rFonts w:hint="cs"/>
          <w:rtl/>
          <w:lang w:bidi="fa-IR"/>
        </w:rPr>
        <w:t>)، 48.3% (</w:t>
      </w:r>
      <w:r w:rsidR="008D4101">
        <w:rPr>
          <w:lang w:bidi="fa-IR"/>
        </w:rPr>
        <w:t>QRISK2</w:t>
      </w:r>
      <w:r w:rsidR="008D4101">
        <w:rPr>
          <w:rFonts w:hint="cs"/>
          <w:rtl/>
          <w:lang w:bidi="fa-IR"/>
        </w:rPr>
        <w:t>)، 43.2% (</w:t>
      </w:r>
      <w:r w:rsidR="008D4101">
        <w:rPr>
          <w:lang w:bidi="fa-IR"/>
        </w:rPr>
        <w:t>FRS-CHD</w:t>
      </w:r>
      <w:r w:rsidR="008D4101">
        <w:rPr>
          <w:rFonts w:hint="cs"/>
          <w:rtl/>
          <w:lang w:bidi="fa-IR"/>
        </w:rPr>
        <w:t>)، و 28.3% (</w:t>
      </w:r>
      <w:r w:rsidR="008D4101">
        <w:rPr>
          <w:lang w:bidi="fa-IR"/>
        </w:rPr>
        <w:t>ASCVD</w:t>
      </w:r>
      <w:r w:rsidR="008D4101">
        <w:rPr>
          <w:rFonts w:hint="cs"/>
          <w:rtl/>
          <w:lang w:bidi="fa-IR"/>
        </w:rPr>
        <w:t xml:space="preserve">) </w:t>
      </w:r>
      <w:r w:rsidR="002223E7">
        <w:rPr>
          <w:rFonts w:hint="cs"/>
          <w:rtl/>
          <w:lang w:bidi="fa-IR"/>
        </w:rPr>
        <w:t xml:space="preserve">بودند </w:t>
      </w:r>
      <w:r w:rsidR="00874B96">
        <w:rPr>
          <w:rFonts w:hint="cs"/>
          <w:rtl/>
          <w:lang w:bidi="fa-IR"/>
        </w:rPr>
        <w:t>(257، 270-265).</w:t>
      </w:r>
    </w:p>
    <w:p w14:paraId="478FC3FA" w14:textId="504D8151" w:rsidR="00874B96" w:rsidRDefault="00D0010A" w:rsidP="00431DB2">
      <w:pPr>
        <w:rPr>
          <w:b/>
          <w:bCs/>
          <w:rtl/>
          <w:lang w:bidi="fa-IR"/>
        </w:rPr>
      </w:pPr>
      <w:r>
        <w:rPr>
          <w:rFonts w:hint="cs"/>
          <w:b/>
          <w:bCs/>
          <w:rtl/>
          <w:lang w:bidi="fa-IR"/>
        </w:rPr>
        <w:t xml:space="preserve">2.5.5 مطالعة هندی روی </w:t>
      </w:r>
      <w:r>
        <w:rPr>
          <w:b/>
          <w:bCs/>
          <w:lang w:bidi="fa-IR"/>
        </w:rPr>
        <w:t>CVD</w:t>
      </w:r>
    </w:p>
    <w:p w14:paraId="4866E01C" w14:textId="383CDDCB" w:rsidR="00D0010A" w:rsidRDefault="00006D9E" w:rsidP="00431DB2">
      <w:pPr>
        <w:rPr>
          <w:rtl/>
          <w:lang w:bidi="fa-IR"/>
        </w:rPr>
      </w:pPr>
      <w:r>
        <w:rPr>
          <w:rFonts w:hint="cs"/>
          <w:rtl/>
          <w:lang w:bidi="fa-IR"/>
        </w:rPr>
        <w:lastRenderedPageBreak/>
        <w:t xml:space="preserve">در هند، با جمعیتی که دومین کشور پرجمعیت جهان را تشکیل می دهد، مطالعة </w:t>
      </w:r>
      <w:r w:rsidR="00AD4691">
        <w:rPr>
          <w:rFonts w:hint="cs"/>
          <w:rtl/>
          <w:lang w:bidi="fa-IR"/>
        </w:rPr>
        <w:t>یک میلیون مرگ (</w:t>
      </w:r>
      <w:r w:rsidR="00AD4691">
        <w:rPr>
          <w:lang w:bidi="fa-IR"/>
        </w:rPr>
        <w:t>MDS</w:t>
      </w:r>
      <w:r w:rsidR="00AD4691">
        <w:rPr>
          <w:rFonts w:hint="cs"/>
          <w:rtl/>
          <w:lang w:bidi="fa-IR"/>
        </w:rPr>
        <w:t xml:space="preserve">) در سال 1998 آغاز شد (281). مطالعه دو فاز اصلی داشت: اولی از سال 1998 تا 2003 اطلاعات مربوط به 300000 مرگ در نمونه را گردآوری نمود، و فاز دوم از سال 2004 تا 2014 اطلاعات مربوط به 700000 مرگ </w:t>
      </w:r>
      <w:r w:rsidR="00461E4A">
        <w:rPr>
          <w:rFonts w:hint="cs"/>
          <w:rtl/>
          <w:lang w:bidi="fa-IR"/>
        </w:rPr>
        <w:t xml:space="preserve">باقیمانده تا هدف حدود یک میلیون مرگ را گردآوری کرد. </w:t>
      </w:r>
      <w:r w:rsidR="005E533E">
        <w:rPr>
          <w:rFonts w:hint="cs"/>
          <w:rtl/>
          <w:lang w:bidi="fa-IR"/>
        </w:rPr>
        <w:t xml:space="preserve">در حالی که </w:t>
      </w:r>
      <w:r w:rsidR="004B197A">
        <w:rPr>
          <w:rFonts w:hint="cs"/>
          <w:rtl/>
          <w:lang w:bidi="fa-IR"/>
        </w:rPr>
        <w:t xml:space="preserve">در انتظار </w:t>
      </w:r>
      <w:r w:rsidR="005E533E">
        <w:rPr>
          <w:rFonts w:hint="cs"/>
          <w:rtl/>
          <w:lang w:bidi="fa-IR"/>
        </w:rPr>
        <w:t xml:space="preserve">نتایج </w:t>
      </w:r>
      <w:r w:rsidR="005A2D29">
        <w:rPr>
          <w:rFonts w:hint="cs"/>
          <w:rtl/>
          <w:lang w:bidi="fa-IR"/>
        </w:rPr>
        <w:t xml:space="preserve">مرگ های </w:t>
      </w:r>
      <w:r w:rsidR="005A2D29">
        <w:rPr>
          <w:lang w:bidi="fa-IR"/>
        </w:rPr>
        <w:t>CV</w:t>
      </w:r>
      <w:r w:rsidR="005A2D29">
        <w:rPr>
          <w:rFonts w:hint="cs"/>
          <w:rtl/>
          <w:lang w:bidi="fa-IR"/>
        </w:rPr>
        <w:t xml:space="preserve"> مربوط به مطالعة </w:t>
      </w:r>
      <w:r w:rsidR="005A2D29">
        <w:rPr>
          <w:lang w:bidi="fa-IR"/>
        </w:rPr>
        <w:t>MDS</w:t>
      </w:r>
      <w:r w:rsidR="005A2D29">
        <w:rPr>
          <w:rFonts w:hint="cs"/>
          <w:rtl/>
          <w:lang w:bidi="fa-IR"/>
        </w:rPr>
        <w:t xml:space="preserve"> </w:t>
      </w:r>
      <w:r w:rsidR="00F15639">
        <w:rPr>
          <w:rFonts w:hint="cs"/>
          <w:rtl/>
          <w:lang w:bidi="fa-IR"/>
        </w:rPr>
        <w:t xml:space="preserve">هستیم، تنها مکانیسم فعلی کمی سازی </w:t>
      </w:r>
      <w:r w:rsidR="00F15639">
        <w:rPr>
          <w:lang w:bidi="fa-IR"/>
        </w:rPr>
        <w:t>CVD</w:t>
      </w:r>
      <w:r w:rsidR="00F15639">
        <w:rPr>
          <w:rFonts w:hint="cs"/>
          <w:rtl/>
          <w:lang w:bidi="fa-IR"/>
        </w:rPr>
        <w:t xml:space="preserve"> با برآورد نمرة ریسک </w:t>
      </w:r>
      <w:r w:rsidR="00F15639">
        <w:rPr>
          <w:lang w:bidi="fa-IR"/>
        </w:rPr>
        <w:t>CVD</w:t>
      </w:r>
      <w:r w:rsidR="00F15639">
        <w:rPr>
          <w:rFonts w:hint="cs"/>
          <w:rtl/>
          <w:lang w:bidi="fa-IR"/>
        </w:rPr>
        <w:t xml:space="preserve"> با استفاده از داده های مطالعة نظارت قلبی هند است، که برای شناسایی شیوع ملی ریسک فاکتورهای </w:t>
      </w:r>
      <w:r w:rsidR="00F15639">
        <w:rPr>
          <w:lang w:bidi="fa-IR"/>
        </w:rPr>
        <w:t>CVD</w:t>
      </w:r>
      <w:r w:rsidR="00F15639">
        <w:rPr>
          <w:rFonts w:hint="cs"/>
          <w:rtl/>
          <w:lang w:bidi="fa-IR"/>
        </w:rPr>
        <w:t xml:space="preserve"> در جمعیت های شهری هند طراحی شد</w:t>
      </w:r>
      <w:r w:rsidR="00AD2269">
        <w:rPr>
          <w:rFonts w:hint="cs"/>
          <w:rtl/>
          <w:lang w:bidi="fa-IR"/>
        </w:rPr>
        <w:t xml:space="preserve"> (282). </w:t>
      </w:r>
      <w:r w:rsidR="00163B88">
        <w:rPr>
          <w:rFonts w:hint="cs"/>
          <w:rtl/>
          <w:lang w:bidi="fa-IR"/>
        </w:rPr>
        <w:t xml:space="preserve">با استفاده از داده های جمع آوری شده در </w:t>
      </w:r>
      <w:r w:rsidR="00163B88">
        <w:rPr>
          <w:lang w:bidi="fa-IR"/>
        </w:rPr>
        <w:t>IHW</w:t>
      </w:r>
      <w:r w:rsidR="00163B88">
        <w:rPr>
          <w:rFonts w:hint="cs"/>
          <w:rtl/>
          <w:lang w:bidi="fa-IR"/>
        </w:rPr>
        <w:t xml:space="preserve"> و </w:t>
      </w:r>
      <w:r w:rsidR="00173863">
        <w:rPr>
          <w:rFonts w:hint="cs"/>
          <w:rtl/>
          <w:lang w:bidi="fa-IR"/>
        </w:rPr>
        <w:t xml:space="preserve">تبدیل داده ها به نمرات ریسک با استفاده از محاسبه گر </w:t>
      </w:r>
      <w:r w:rsidR="00173863">
        <w:rPr>
          <w:lang w:bidi="fa-IR"/>
        </w:rPr>
        <w:t>QRISK2</w:t>
      </w:r>
      <w:r w:rsidR="00173863">
        <w:rPr>
          <w:rFonts w:hint="cs"/>
          <w:rtl/>
          <w:lang w:bidi="fa-IR"/>
        </w:rPr>
        <w:t xml:space="preserve">، این مطالعه نه تنها شکاف بزرگ در دانش علمی و کاربرد عملی مراقبت سلامت پیشگیرانة </w:t>
      </w:r>
      <w:r w:rsidR="00173863">
        <w:rPr>
          <w:lang w:bidi="fa-IR"/>
        </w:rPr>
        <w:t>CVD</w:t>
      </w:r>
      <w:r w:rsidR="00173863">
        <w:rPr>
          <w:rFonts w:hint="cs"/>
          <w:rtl/>
          <w:lang w:bidi="fa-IR"/>
        </w:rPr>
        <w:t xml:space="preserve"> را پر کرد، بلکه همچنین ابزاری عینی برای </w:t>
      </w:r>
      <w:r w:rsidR="0020482B">
        <w:rPr>
          <w:rFonts w:hint="cs"/>
          <w:rtl/>
          <w:lang w:bidi="fa-IR"/>
        </w:rPr>
        <w:t xml:space="preserve">اطلاع رسانی ریسک </w:t>
      </w:r>
      <w:r w:rsidR="00AC0877">
        <w:rPr>
          <w:rFonts w:hint="cs"/>
          <w:rtl/>
          <w:lang w:bidi="fa-IR"/>
        </w:rPr>
        <w:t>به</w:t>
      </w:r>
      <w:r w:rsidR="0020482B">
        <w:rPr>
          <w:rFonts w:hint="cs"/>
          <w:rtl/>
          <w:lang w:bidi="fa-IR"/>
        </w:rPr>
        <w:t xml:space="preserve"> بیماران و تشکیل پایه و اساسی برای تصمیمات درمانی در اختیار پزشکان قرار داد. </w:t>
      </w:r>
    </w:p>
    <w:p w14:paraId="12158825" w14:textId="0B0CB05E" w:rsidR="00992095" w:rsidRDefault="00FC0403" w:rsidP="00431DB2">
      <w:pPr>
        <w:rPr>
          <w:b/>
          <w:bCs/>
          <w:rtl/>
          <w:lang w:bidi="fa-IR"/>
        </w:rPr>
      </w:pPr>
      <w:r>
        <w:rPr>
          <w:rFonts w:hint="cs"/>
          <w:b/>
          <w:bCs/>
          <w:rtl/>
          <w:lang w:bidi="fa-IR"/>
        </w:rPr>
        <w:t>2.5.3 ریسک فاکتورها در جمعیت آسیایی</w:t>
      </w:r>
    </w:p>
    <w:p w14:paraId="00D6B3EF" w14:textId="4C1305BB" w:rsidR="00FC0403" w:rsidRDefault="009B4248" w:rsidP="00431DB2">
      <w:pPr>
        <w:rPr>
          <w:rtl/>
          <w:lang w:bidi="fa-IR"/>
        </w:rPr>
      </w:pPr>
      <w:r>
        <w:rPr>
          <w:rFonts w:hint="cs"/>
          <w:rtl/>
          <w:lang w:bidi="fa-IR"/>
        </w:rPr>
        <w:t xml:space="preserve">جدول 2 ریسک فاکتورهای برجسته ای که </w:t>
      </w:r>
      <w:r w:rsidR="004C797E">
        <w:rPr>
          <w:rFonts w:hint="cs"/>
          <w:rtl/>
          <w:lang w:bidi="fa-IR"/>
        </w:rPr>
        <w:t xml:space="preserve">منجر افزایش شیوع </w:t>
      </w:r>
      <w:r w:rsidR="004C797E">
        <w:rPr>
          <w:lang w:bidi="fa-IR"/>
        </w:rPr>
        <w:t>CVD</w:t>
      </w:r>
      <w:r w:rsidR="004C797E">
        <w:rPr>
          <w:rFonts w:hint="cs"/>
          <w:rtl/>
          <w:lang w:bidi="fa-IR"/>
        </w:rPr>
        <w:t xml:space="preserve"> شده، آن را تسریع نموده، یا به صورت هم افزا با آن عمل می کنند را نشان می دهد. </w:t>
      </w:r>
      <w:r w:rsidR="000B327D">
        <w:rPr>
          <w:rFonts w:hint="cs"/>
          <w:rtl/>
          <w:lang w:bidi="fa-IR"/>
        </w:rPr>
        <w:t xml:space="preserve">ادبیات اپیدمیولوژیک نشان می دهند که </w:t>
      </w:r>
      <w:r w:rsidR="000B327D">
        <w:rPr>
          <w:lang w:bidi="fa-IR"/>
        </w:rPr>
        <w:t>CVD</w:t>
      </w:r>
      <w:r w:rsidR="000B327D">
        <w:rPr>
          <w:rFonts w:hint="cs"/>
          <w:rtl/>
          <w:lang w:bidi="fa-IR"/>
        </w:rPr>
        <w:t xml:space="preserve"> و ریسک فاکتورها با سرعت زیاد در جمعیت های آسیایی در حال افزایش هستند و شیوع ممکن است بین جمعیت های شهری و روستایی متفاوت باشد. ریسک فاکتورهای ذکر شده در جدول 2 </w:t>
      </w:r>
      <w:r w:rsidR="003314ED">
        <w:rPr>
          <w:rFonts w:hint="cs"/>
          <w:rtl/>
          <w:lang w:bidi="fa-IR"/>
        </w:rPr>
        <w:t>که از مطالعات اپیدمیولوژیکی مختلف به دست آمده اند (283) مشابه با ریسک فاکتورهایی هستند که در جمعیت های غربی ذکر شده اند (284).</w:t>
      </w:r>
    </w:p>
    <w:p w14:paraId="24823E99" w14:textId="4F2B167E" w:rsidR="00426460" w:rsidRDefault="00426460" w:rsidP="00426460">
      <w:pPr>
        <w:pStyle w:val="Caption"/>
        <w:keepNext/>
      </w:pPr>
      <w:r>
        <w:rPr>
          <w:rtl/>
        </w:rPr>
        <w:t xml:space="preserve">جدول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Pr>
          <w:noProof/>
          <w:rtl/>
        </w:rPr>
        <w:t>2</w:t>
      </w:r>
      <w:r>
        <w:rPr>
          <w:rtl/>
        </w:rPr>
        <w:fldChar w:fldCharType="end"/>
      </w:r>
      <w:r>
        <w:rPr>
          <w:rFonts w:hint="cs"/>
          <w:rtl/>
        </w:rPr>
        <w:t xml:space="preserve"> ریسک فاکتورها</w:t>
      </w:r>
    </w:p>
    <w:tbl>
      <w:tblPr>
        <w:tblStyle w:val="TableGrid"/>
        <w:bidiVisual/>
        <w:tblW w:w="0" w:type="auto"/>
        <w:tblLook w:val="04A0" w:firstRow="1" w:lastRow="0" w:firstColumn="1" w:lastColumn="0" w:noHBand="0" w:noVBand="1"/>
      </w:tblPr>
      <w:tblGrid>
        <w:gridCol w:w="4508"/>
        <w:gridCol w:w="4508"/>
      </w:tblGrid>
      <w:tr w:rsidR="00426460" w14:paraId="5316F825" w14:textId="77777777" w:rsidTr="00426460">
        <w:tc>
          <w:tcPr>
            <w:tcW w:w="4508" w:type="dxa"/>
          </w:tcPr>
          <w:p w14:paraId="4FE5875C" w14:textId="4C10AE16" w:rsidR="00426460" w:rsidRDefault="00426460" w:rsidP="00431DB2">
            <w:pPr>
              <w:rPr>
                <w:rFonts w:hint="cs"/>
                <w:rtl/>
                <w:lang w:bidi="fa-IR"/>
              </w:rPr>
            </w:pPr>
            <w:r>
              <w:rPr>
                <w:rFonts w:hint="cs"/>
                <w:rtl/>
                <w:lang w:bidi="fa-IR"/>
              </w:rPr>
              <w:t>ریسک قابل اصلاح</w:t>
            </w:r>
          </w:p>
        </w:tc>
        <w:tc>
          <w:tcPr>
            <w:tcW w:w="4508" w:type="dxa"/>
          </w:tcPr>
          <w:p w14:paraId="3386BD3F" w14:textId="3011FEF9" w:rsidR="00426460" w:rsidRDefault="00426460" w:rsidP="00431DB2">
            <w:pPr>
              <w:rPr>
                <w:rFonts w:hint="cs"/>
                <w:rtl/>
                <w:lang w:bidi="fa-IR"/>
              </w:rPr>
            </w:pPr>
            <w:r>
              <w:rPr>
                <w:rFonts w:hint="cs"/>
                <w:rtl/>
                <w:lang w:bidi="fa-IR"/>
              </w:rPr>
              <w:t>ریسک غیر قابل اصلاح</w:t>
            </w:r>
          </w:p>
        </w:tc>
      </w:tr>
      <w:tr w:rsidR="00426460" w14:paraId="40EDCA32" w14:textId="77777777" w:rsidTr="00426460">
        <w:tc>
          <w:tcPr>
            <w:tcW w:w="4508" w:type="dxa"/>
          </w:tcPr>
          <w:p w14:paraId="333A909D" w14:textId="0C7CEC68" w:rsidR="00426460" w:rsidRDefault="00426460" w:rsidP="00431DB2">
            <w:pPr>
              <w:rPr>
                <w:rFonts w:hint="cs"/>
                <w:rtl/>
                <w:lang w:bidi="fa-IR"/>
              </w:rPr>
            </w:pPr>
            <w:r>
              <w:rPr>
                <w:rFonts w:hint="cs"/>
                <w:rtl/>
                <w:lang w:bidi="fa-IR"/>
              </w:rPr>
              <w:t>سیگار کشیدن</w:t>
            </w:r>
          </w:p>
        </w:tc>
        <w:tc>
          <w:tcPr>
            <w:tcW w:w="4508" w:type="dxa"/>
          </w:tcPr>
          <w:p w14:paraId="68CAA376" w14:textId="41BE5B15" w:rsidR="00426460" w:rsidRDefault="00426460" w:rsidP="00431DB2">
            <w:pPr>
              <w:rPr>
                <w:rFonts w:hint="cs"/>
                <w:rtl/>
                <w:lang w:bidi="fa-IR"/>
              </w:rPr>
            </w:pPr>
            <w:r>
              <w:rPr>
                <w:rFonts w:hint="cs"/>
                <w:rtl/>
                <w:lang w:bidi="fa-IR"/>
              </w:rPr>
              <w:t>سن</w:t>
            </w:r>
          </w:p>
        </w:tc>
      </w:tr>
      <w:tr w:rsidR="00426460" w14:paraId="10AA934A" w14:textId="77777777" w:rsidTr="00426460">
        <w:tc>
          <w:tcPr>
            <w:tcW w:w="4508" w:type="dxa"/>
          </w:tcPr>
          <w:p w14:paraId="3AD73B48" w14:textId="4D78A49D" w:rsidR="00426460" w:rsidRDefault="00426460" w:rsidP="00431DB2">
            <w:pPr>
              <w:rPr>
                <w:rFonts w:hint="cs"/>
                <w:rtl/>
                <w:lang w:bidi="fa-IR"/>
              </w:rPr>
            </w:pPr>
            <w:r>
              <w:rPr>
                <w:rFonts w:hint="cs"/>
                <w:rtl/>
                <w:lang w:bidi="fa-IR"/>
              </w:rPr>
              <w:t>فعالیت بدنی</w:t>
            </w:r>
          </w:p>
        </w:tc>
        <w:tc>
          <w:tcPr>
            <w:tcW w:w="4508" w:type="dxa"/>
          </w:tcPr>
          <w:p w14:paraId="6E09FFE3" w14:textId="3392D474" w:rsidR="00426460" w:rsidRDefault="00426460" w:rsidP="00431DB2">
            <w:pPr>
              <w:rPr>
                <w:rFonts w:hint="cs"/>
                <w:rtl/>
                <w:lang w:bidi="fa-IR"/>
              </w:rPr>
            </w:pPr>
            <w:r>
              <w:rPr>
                <w:rFonts w:hint="cs"/>
                <w:rtl/>
                <w:lang w:bidi="fa-IR"/>
              </w:rPr>
              <w:t>جنسیت</w:t>
            </w:r>
          </w:p>
        </w:tc>
      </w:tr>
      <w:tr w:rsidR="00426460" w14:paraId="44F7DF6E" w14:textId="77777777" w:rsidTr="00426460">
        <w:tc>
          <w:tcPr>
            <w:tcW w:w="4508" w:type="dxa"/>
          </w:tcPr>
          <w:p w14:paraId="274F95A3" w14:textId="3D887B5B" w:rsidR="00426460" w:rsidRDefault="00426460" w:rsidP="00431DB2">
            <w:pPr>
              <w:rPr>
                <w:rFonts w:hint="cs"/>
                <w:rtl/>
                <w:lang w:bidi="fa-IR"/>
              </w:rPr>
            </w:pPr>
            <w:r>
              <w:rPr>
                <w:rFonts w:hint="cs"/>
                <w:rtl/>
                <w:lang w:bidi="fa-IR"/>
              </w:rPr>
              <w:t>رژیم غذایی</w:t>
            </w:r>
          </w:p>
        </w:tc>
        <w:tc>
          <w:tcPr>
            <w:tcW w:w="4508" w:type="dxa"/>
          </w:tcPr>
          <w:p w14:paraId="332C48F6" w14:textId="4E89EB9C" w:rsidR="00426460" w:rsidRDefault="00426460" w:rsidP="00431DB2">
            <w:pPr>
              <w:rPr>
                <w:rFonts w:hint="cs"/>
                <w:rtl/>
                <w:lang w:bidi="fa-IR"/>
              </w:rPr>
            </w:pPr>
            <w:r>
              <w:rPr>
                <w:rFonts w:hint="cs"/>
                <w:rtl/>
                <w:lang w:bidi="fa-IR"/>
              </w:rPr>
              <w:t>سابقة خواندگی بیماری قلبی</w:t>
            </w:r>
          </w:p>
        </w:tc>
      </w:tr>
      <w:tr w:rsidR="00426460" w14:paraId="36502BAC" w14:textId="77777777" w:rsidTr="00426460">
        <w:tc>
          <w:tcPr>
            <w:tcW w:w="4508" w:type="dxa"/>
          </w:tcPr>
          <w:p w14:paraId="78A82FC3" w14:textId="22144706" w:rsidR="00426460" w:rsidRDefault="003673F2" w:rsidP="00431DB2">
            <w:pPr>
              <w:rPr>
                <w:rFonts w:hint="cs"/>
                <w:rtl/>
                <w:lang w:bidi="fa-IR"/>
              </w:rPr>
            </w:pPr>
            <w:r>
              <w:rPr>
                <w:rFonts w:hint="cs"/>
                <w:rtl/>
                <w:lang w:bidi="fa-IR"/>
              </w:rPr>
              <w:t>وزن-چاقی</w:t>
            </w:r>
          </w:p>
        </w:tc>
        <w:tc>
          <w:tcPr>
            <w:tcW w:w="4508" w:type="dxa"/>
          </w:tcPr>
          <w:p w14:paraId="673D50C3" w14:textId="2EA50187" w:rsidR="00426460" w:rsidRDefault="003673F2" w:rsidP="00431DB2">
            <w:pPr>
              <w:rPr>
                <w:rFonts w:hint="cs"/>
                <w:rtl/>
                <w:lang w:bidi="fa-IR"/>
              </w:rPr>
            </w:pPr>
            <w:r>
              <w:rPr>
                <w:rFonts w:hint="cs"/>
                <w:rtl/>
                <w:lang w:bidi="fa-IR"/>
              </w:rPr>
              <w:t>سابقة قبلی بیماری قبلی</w:t>
            </w:r>
          </w:p>
        </w:tc>
      </w:tr>
      <w:tr w:rsidR="003673F2" w14:paraId="2913B3D8" w14:textId="77777777" w:rsidTr="00426460">
        <w:tc>
          <w:tcPr>
            <w:tcW w:w="4508" w:type="dxa"/>
          </w:tcPr>
          <w:p w14:paraId="1576A89E" w14:textId="64B82286" w:rsidR="003673F2" w:rsidRDefault="003673F2" w:rsidP="00431DB2">
            <w:pPr>
              <w:rPr>
                <w:rFonts w:hint="cs"/>
                <w:rtl/>
                <w:lang w:bidi="fa-IR"/>
              </w:rPr>
            </w:pPr>
            <w:r>
              <w:rPr>
                <w:rFonts w:hint="cs"/>
                <w:rtl/>
                <w:lang w:bidi="fa-IR"/>
              </w:rPr>
              <w:t>کلسترول</w:t>
            </w:r>
          </w:p>
        </w:tc>
        <w:tc>
          <w:tcPr>
            <w:tcW w:w="4508" w:type="dxa"/>
          </w:tcPr>
          <w:p w14:paraId="042F63C8" w14:textId="2DB133DB" w:rsidR="003673F2" w:rsidRDefault="003673F2" w:rsidP="00431DB2">
            <w:pPr>
              <w:rPr>
                <w:rFonts w:hint="cs"/>
                <w:rtl/>
                <w:lang w:bidi="fa-IR"/>
              </w:rPr>
            </w:pPr>
            <w:r>
              <w:rPr>
                <w:rFonts w:hint="cs"/>
                <w:rtl/>
                <w:lang w:bidi="fa-IR"/>
              </w:rPr>
              <w:t>قومیت</w:t>
            </w:r>
          </w:p>
        </w:tc>
      </w:tr>
      <w:tr w:rsidR="003673F2" w14:paraId="3C5A66F3" w14:textId="77777777" w:rsidTr="00426460">
        <w:tc>
          <w:tcPr>
            <w:tcW w:w="4508" w:type="dxa"/>
          </w:tcPr>
          <w:p w14:paraId="039E9B95" w14:textId="1D6D9B87" w:rsidR="003673F2" w:rsidRDefault="003673F2" w:rsidP="00431DB2">
            <w:pPr>
              <w:rPr>
                <w:rFonts w:hint="cs"/>
                <w:rtl/>
                <w:lang w:bidi="fa-IR"/>
              </w:rPr>
            </w:pPr>
            <w:r>
              <w:rPr>
                <w:rFonts w:hint="cs"/>
                <w:rtl/>
                <w:lang w:bidi="fa-IR"/>
              </w:rPr>
              <w:t>فشار خون</w:t>
            </w:r>
          </w:p>
        </w:tc>
        <w:tc>
          <w:tcPr>
            <w:tcW w:w="4508" w:type="dxa"/>
          </w:tcPr>
          <w:p w14:paraId="76C345D1" w14:textId="77777777" w:rsidR="003673F2" w:rsidRDefault="003673F2" w:rsidP="00431DB2">
            <w:pPr>
              <w:rPr>
                <w:rFonts w:hint="cs"/>
                <w:rtl/>
                <w:lang w:bidi="fa-IR"/>
              </w:rPr>
            </w:pPr>
          </w:p>
        </w:tc>
      </w:tr>
      <w:tr w:rsidR="003673F2" w14:paraId="1F34C958" w14:textId="77777777" w:rsidTr="00426460">
        <w:tc>
          <w:tcPr>
            <w:tcW w:w="4508" w:type="dxa"/>
          </w:tcPr>
          <w:p w14:paraId="5D5D7334" w14:textId="5DF27A6B" w:rsidR="003673F2" w:rsidRDefault="003673F2" w:rsidP="00431DB2">
            <w:pPr>
              <w:rPr>
                <w:rFonts w:hint="cs"/>
                <w:rtl/>
                <w:lang w:bidi="fa-IR"/>
              </w:rPr>
            </w:pPr>
            <w:r>
              <w:rPr>
                <w:rFonts w:hint="cs"/>
                <w:rtl/>
                <w:lang w:bidi="fa-IR"/>
              </w:rPr>
              <w:t>گلوکز</w:t>
            </w:r>
          </w:p>
        </w:tc>
        <w:tc>
          <w:tcPr>
            <w:tcW w:w="4508" w:type="dxa"/>
          </w:tcPr>
          <w:p w14:paraId="651985F4" w14:textId="77777777" w:rsidR="003673F2" w:rsidRDefault="003673F2" w:rsidP="00431DB2">
            <w:pPr>
              <w:rPr>
                <w:rFonts w:hint="cs"/>
                <w:rtl/>
                <w:lang w:bidi="fa-IR"/>
              </w:rPr>
            </w:pPr>
          </w:p>
        </w:tc>
      </w:tr>
    </w:tbl>
    <w:p w14:paraId="10CFB379" w14:textId="3C17D366" w:rsidR="003314ED" w:rsidRDefault="003673F2" w:rsidP="00431DB2">
      <w:pPr>
        <w:rPr>
          <w:rtl/>
          <w:lang w:bidi="fa-IR"/>
        </w:rPr>
      </w:pPr>
      <w:r>
        <w:rPr>
          <w:rFonts w:hint="cs"/>
          <w:rtl/>
          <w:lang w:bidi="fa-IR"/>
        </w:rPr>
        <w:t>نکته: منبع</w:t>
      </w:r>
      <w:r w:rsidR="00B0611D">
        <w:rPr>
          <w:rFonts w:hint="cs"/>
          <w:rtl/>
          <w:lang w:bidi="fa-IR"/>
        </w:rPr>
        <w:t xml:space="preserve"> (285).</w:t>
      </w:r>
    </w:p>
    <w:p w14:paraId="7915B5A9" w14:textId="235570F8" w:rsidR="00B0611D" w:rsidRDefault="009668D5" w:rsidP="00431DB2">
      <w:pPr>
        <w:rPr>
          <w:rtl/>
          <w:lang w:bidi="fa-IR"/>
        </w:rPr>
      </w:pPr>
      <w:r>
        <w:rPr>
          <w:rFonts w:hint="cs"/>
          <w:rtl/>
          <w:lang w:bidi="fa-IR"/>
        </w:rPr>
        <w:t>جالب این که</w:t>
      </w:r>
      <w:r w:rsidR="00AE4738">
        <w:rPr>
          <w:rFonts w:hint="cs"/>
          <w:rtl/>
          <w:lang w:bidi="fa-IR"/>
        </w:rPr>
        <w:t xml:space="preserve"> مطالعة مورد-شاهدی </w:t>
      </w:r>
      <w:r w:rsidR="00AE4738">
        <w:rPr>
          <w:lang w:bidi="fa-IR"/>
        </w:rPr>
        <w:t>INTERHEART</w:t>
      </w:r>
      <w:r w:rsidR="00AE4738">
        <w:rPr>
          <w:rFonts w:hint="cs"/>
          <w:rtl/>
          <w:lang w:bidi="fa-IR"/>
        </w:rPr>
        <w:t xml:space="preserve"> توسط یوسف و همکاران (286) هشت ریسک فاکتور شایع </w:t>
      </w:r>
      <w:r w:rsidR="00AE4738">
        <w:rPr>
          <w:lang w:bidi="fa-IR"/>
        </w:rPr>
        <w:t>CVD</w:t>
      </w:r>
      <w:r w:rsidR="00AE4738">
        <w:rPr>
          <w:rFonts w:hint="cs"/>
          <w:rtl/>
          <w:lang w:bidi="fa-IR"/>
        </w:rPr>
        <w:t xml:space="preserve"> زودرس را کمی سازی کردند که بیش از 90 درصد از بروز انفارکشن میوکارد حاد در جمعیت های هندی و آسیای جنوبی را توضیح داد. </w:t>
      </w:r>
      <w:r w:rsidR="00676AFD">
        <w:rPr>
          <w:rFonts w:hint="cs"/>
          <w:rtl/>
          <w:lang w:bidi="fa-IR"/>
        </w:rPr>
        <w:t xml:space="preserve">ریسک فاکتورهای شایع عبارتند از: دیس لیپیدمی، سیگار کشیدن، هایپرتنشن، دیابت، چاقی شکمی، </w:t>
      </w:r>
      <w:r w:rsidR="00E74F7A">
        <w:rPr>
          <w:rFonts w:hint="cs"/>
          <w:rtl/>
          <w:lang w:bidi="fa-IR"/>
        </w:rPr>
        <w:t xml:space="preserve">عدم فعالیت بدنی، مصرف </w:t>
      </w:r>
      <w:r w:rsidR="004508C1">
        <w:rPr>
          <w:rFonts w:hint="cs"/>
          <w:rtl/>
          <w:lang w:bidi="fa-IR"/>
        </w:rPr>
        <w:t xml:space="preserve">کم میوه و سبزیجات در رژیم غذایی، و استرس روانی-اجتماعی (286، 287). چون اکثر آسیایی ها در مناطق </w:t>
      </w:r>
      <w:r w:rsidR="004508C1">
        <w:rPr>
          <w:rFonts w:hint="cs"/>
          <w:rtl/>
          <w:lang w:bidi="fa-IR"/>
        </w:rPr>
        <w:lastRenderedPageBreak/>
        <w:t xml:space="preserve">روستایی زندگی می کنند، </w:t>
      </w:r>
      <w:r w:rsidR="004508C1">
        <w:rPr>
          <w:lang w:bidi="fa-IR"/>
        </w:rPr>
        <w:t>CVD</w:t>
      </w:r>
      <w:r w:rsidR="004508C1">
        <w:rPr>
          <w:rFonts w:hint="cs"/>
          <w:rtl/>
          <w:lang w:bidi="fa-IR"/>
        </w:rPr>
        <w:t xml:space="preserve"> ممکن است </w:t>
      </w:r>
      <w:r w:rsidR="008C643F">
        <w:rPr>
          <w:rFonts w:hint="cs"/>
          <w:rtl/>
          <w:lang w:bidi="fa-IR"/>
        </w:rPr>
        <w:t>منجر به ابعاد اپیدمی شود، که به همین دلیل است که</w:t>
      </w:r>
      <w:r w:rsidR="00A72189">
        <w:rPr>
          <w:rFonts w:hint="cs"/>
          <w:rtl/>
          <w:lang w:bidi="fa-IR"/>
        </w:rPr>
        <w:t xml:space="preserve"> در کنار تدوین برنامه های مداخله و ارتقای سلامت موثر برای کمک به کاهش </w:t>
      </w:r>
      <w:r w:rsidR="00A72189">
        <w:rPr>
          <w:lang w:bidi="fa-IR"/>
        </w:rPr>
        <w:t>CVD</w:t>
      </w:r>
      <w:r w:rsidR="00A72189">
        <w:rPr>
          <w:rFonts w:hint="cs"/>
          <w:rtl/>
          <w:lang w:bidi="fa-IR"/>
        </w:rPr>
        <w:t xml:space="preserve"> در ایران باید ریسک فاکتورها را نیز جدی گرفت. </w:t>
      </w:r>
      <w:r w:rsidR="008C4831">
        <w:rPr>
          <w:rFonts w:hint="cs"/>
          <w:rtl/>
          <w:lang w:bidi="fa-IR"/>
        </w:rPr>
        <w:t xml:space="preserve">شکل 4 ریسک فاکتورهای مختلف، تاثیر آن ها، و وابستگی متقابل آن ها در ایجاد </w:t>
      </w:r>
      <w:r w:rsidR="008C4831">
        <w:rPr>
          <w:lang w:bidi="fa-IR"/>
        </w:rPr>
        <w:t>CVD</w:t>
      </w:r>
      <w:r w:rsidR="008C4831">
        <w:rPr>
          <w:rFonts w:hint="cs"/>
          <w:rtl/>
          <w:lang w:bidi="fa-IR"/>
        </w:rPr>
        <w:t xml:space="preserve"> را نشان می دهد. لازم به ذکر است که اتیولوژی </w:t>
      </w:r>
      <w:r w:rsidR="008C4831">
        <w:rPr>
          <w:lang w:bidi="fa-IR"/>
        </w:rPr>
        <w:t>CVD</w:t>
      </w:r>
      <w:r w:rsidR="008C4831">
        <w:rPr>
          <w:rFonts w:hint="cs"/>
          <w:rtl/>
          <w:lang w:bidi="fa-IR"/>
        </w:rPr>
        <w:t xml:space="preserve"> چند عاملی است و هیچ فاکتور منفردی علت مطلق نیست. بنابراین، افزایش نرخ </w:t>
      </w:r>
      <w:r w:rsidR="008C4831">
        <w:rPr>
          <w:lang w:bidi="fa-IR"/>
        </w:rPr>
        <w:t>CVD</w:t>
      </w:r>
      <w:r w:rsidR="008C4831">
        <w:rPr>
          <w:rFonts w:hint="cs"/>
          <w:rtl/>
          <w:lang w:bidi="fa-IR"/>
        </w:rPr>
        <w:t xml:space="preserve"> را می توان با نرخ بالاتر سایر ریسک فاکتورها، از جمله پروفایل های لیپیدی نامطلوب، توضیح داد (288).</w:t>
      </w:r>
    </w:p>
    <w:p w14:paraId="045CB1FC" w14:textId="77777777" w:rsidR="00E941D1" w:rsidRDefault="00E941D1" w:rsidP="00E941D1">
      <w:pPr>
        <w:keepNext/>
      </w:pPr>
      <w:r w:rsidRPr="00EE3F50">
        <w:rPr>
          <w:rFonts w:cs="Times New Roman"/>
          <w:noProof/>
          <w:sz w:val="24"/>
        </w:rPr>
        <w:drawing>
          <wp:inline distT="0" distB="0" distL="0" distR="0" wp14:anchorId="6BA0A897" wp14:editId="2533E60F">
            <wp:extent cx="5731510" cy="3100894"/>
            <wp:effectExtent l="0" t="0" r="2540" b="4445"/>
            <wp:docPr id="241" name="Picture 241"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Diagram, shape&#10;&#10;Description automatically generated"/>
                    <pic:cNvPicPr/>
                  </pic:nvPicPr>
                  <pic:blipFill>
                    <a:blip r:embed="rId7"/>
                    <a:stretch>
                      <a:fillRect/>
                    </a:stretch>
                  </pic:blipFill>
                  <pic:spPr>
                    <a:xfrm>
                      <a:off x="0" y="0"/>
                      <a:ext cx="5731510" cy="3100894"/>
                    </a:xfrm>
                    <a:prstGeom prst="rect">
                      <a:avLst/>
                    </a:prstGeom>
                  </pic:spPr>
                </pic:pic>
              </a:graphicData>
            </a:graphic>
          </wp:inline>
        </w:drawing>
      </w:r>
    </w:p>
    <w:p w14:paraId="1FDBB0A3" w14:textId="292FE4C8" w:rsidR="008C4831" w:rsidRDefault="00E941D1" w:rsidP="00E941D1">
      <w:pPr>
        <w:pStyle w:val="Caption"/>
        <w:rPr>
          <w:rtl/>
          <w:lang w:bidi="fa-IR"/>
        </w:rPr>
      </w:pPr>
      <w:r>
        <w:rPr>
          <w:rtl/>
        </w:rPr>
        <w:t xml:space="preserve">شکل </w:t>
      </w:r>
      <w:r>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Pr>
          <w:rtl/>
        </w:rPr>
        <w:fldChar w:fldCharType="separate"/>
      </w:r>
      <w:r>
        <w:rPr>
          <w:noProof/>
          <w:rtl/>
        </w:rPr>
        <w:t>4</w:t>
      </w:r>
      <w:r>
        <w:rPr>
          <w:rtl/>
        </w:rPr>
        <w:fldChar w:fldCharType="end"/>
      </w:r>
      <w:r>
        <w:rPr>
          <w:rFonts w:hint="cs"/>
          <w:rtl/>
        </w:rPr>
        <w:t xml:space="preserve"> چارچوب نظری </w:t>
      </w:r>
      <w:r w:rsidR="00604BA9">
        <w:rPr>
          <w:rFonts w:hint="cs"/>
          <w:rtl/>
        </w:rPr>
        <w:t xml:space="preserve">تاثیر عملی روی </w:t>
      </w:r>
      <w:r w:rsidR="00604BA9">
        <w:t>CVD</w:t>
      </w:r>
      <w:r w:rsidR="00604BA9">
        <w:rPr>
          <w:rFonts w:hint="cs"/>
          <w:rtl/>
          <w:lang w:bidi="fa-IR"/>
        </w:rPr>
        <w:t>.</w:t>
      </w:r>
    </w:p>
    <w:p w14:paraId="2D68975C" w14:textId="13A9017D" w:rsidR="00604BA9" w:rsidRDefault="00C10A37" w:rsidP="00604BA9">
      <w:pPr>
        <w:rPr>
          <w:b/>
          <w:bCs/>
          <w:rtl/>
          <w:lang w:bidi="fa-IR"/>
        </w:rPr>
      </w:pPr>
      <w:r>
        <w:rPr>
          <w:rFonts w:hint="cs"/>
          <w:b/>
          <w:bCs/>
          <w:rtl/>
          <w:lang w:bidi="fa-IR"/>
        </w:rPr>
        <w:t>2.5.4 سیگار کشیدن و ریسک قلبی عروقی</w:t>
      </w:r>
    </w:p>
    <w:p w14:paraId="55AADF5E" w14:textId="77777777" w:rsidR="00C10A37" w:rsidRPr="00C10A37" w:rsidRDefault="00C10A37" w:rsidP="00604BA9">
      <w:pPr>
        <w:rPr>
          <w:rtl/>
          <w:lang w:bidi="fa-IR"/>
        </w:rPr>
      </w:pPr>
    </w:p>
    <w:sectPr w:rsidR="00C10A37" w:rsidRPr="00C10A37" w:rsidSect="007B651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 Nazanin">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84"/>
    <w:rsid w:val="00004576"/>
    <w:rsid w:val="00006D9E"/>
    <w:rsid w:val="00011BDC"/>
    <w:rsid w:val="000256F2"/>
    <w:rsid w:val="00030FD7"/>
    <w:rsid w:val="0004563C"/>
    <w:rsid w:val="000471B2"/>
    <w:rsid w:val="000529EB"/>
    <w:rsid w:val="00062A68"/>
    <w:rsid w:val="000737A8"/>
    <w:rsid w:val="0007657F"/>
    <w:rsid w:val="00094D3A"/>
    <w:rsid w:val="000B30EA"/>
    <w:rsid w:val="000B327D"/>
    <w:rsid w:val="000C0FC5"/>
    <w:rsid w:val="000C6F94"/>
    <w:rsid w:val="000D7B73"/>
    <w:rsid w:val="000F468D"/>
    <w:rsid w:val="000F5782"/>
    <w:rsid w:val="00127FA5"/>
    <w:rsid w:val="001309B9"/>
    <w:rsid w:val="00137138"/>
    <w:rsid w:val="00141EAD"/>
    <w:rsid w:val="00143807"/>
    <w:rsid w:val="001627A9"/>
    <w:rsid w:val="00163B88"/>
    <w:rsid w:val="00165126"/>
    <w:rsid w:val="00173863"/>
    <w:rsid w:val="0018089A"/>
    <w:rsid w:val="001B4757"/>
    <w:rsid w:val="001F442C"/>
    <w:rsid w:val="0020116D"/>
    <w:rsid w:val="0020482B"/>
    <w:rsid w:val="002223E7"/>
    <w:rsid w:val="00223D80"/>
    <w:rsid w:val="00274428"/>
    <w:rsid w:val="0027531D"/>
    <w:rsid w:val="0027595B"/>
    <w:rsid w:val="0028291E"/>
    <w:rsid w:val="00286989"/>
    <w:rsid w:val="00286D85"/>
    <w:rsid w:val="00291599"/>
    <w:rsid w:val="002A628B"/>
    <w:rsid w:val="002B3C4E"/>
    <w:rsid w:val="002C26AF"/>
    <w:rsid w:val="00315491"/>
    <w:rsid w:val="00315AEA"/>
    <w:rsid w:val="00317AD3"/>
    <w:rsid w:val="00325867"/>
    <w:rsid w:val="003314ED"/>
    <w:rsid w:val="00341CB8"/>
    <w:rsid w:val="00342110"/>
    <w:rsid w:val="00350463"/>
    <w:rsid w:val="00351B54"/>
    <w:rsid w:val="00361BBB"/>
    <w:rsid w:val="00362581"/>
    <w:rsid w:val="003673F2"/>
    <w:rsid w:val="0038348B"/>
    <w:rsid w:val="003A15CC"/>
    <w:rsid w:val="003B283E"/>
    <w:rsid w:val="003B4BB8"/>
    <w:rsid w:val="003D19D7"/>
    <w:rsid w:val="003D5D44"/>
    <w:rsid w:val="003D7B1C"/>
    <w:rsid w:val="004061D8"/>
    <w:rsid w:val="004070A8"/>
    <w:rsid w:val="00426460"/>
    <w:rsid w:val="00431DB2"/>
    <w:rsid w:val="004508C1"/>
    <w:rsid w:val="00456FDB"/>
    <w:rsid w:val="004604E7"/>
    <w:rsid w:val="00461E4A"/>
    <w:rsid w:val="00474CBE"/>
    <w:rsid w:val="004912DA"/>
    <w:rsid w:val="0049195E"/>
    <w:rsid w:val="004A226B"/>
    <w:rsid w:val="004B197A"/>
    <w:rsid w:val="004C3D4D"/>
    <w:rsid w:val="004C4E4F"/>
    <w:rsid w:val="004C797E"/>
    <w:rsid w:val="004C7C5A"/>
    <w:rsid w:val="00512CEF"/>
    <w:rsid w:val="00523B46"/>
    <w:rsid w:val="00536377"/>
    <w:rsid w:val="0054166F"/>
    <w:rsid w:val="005545F6"/>
    <w:rsid w:val="00583A7C"/>
    <w:rsid w:val="005A2D29"/>
    <w:rsid w:val="005E533E"/>
    <w:rsid w:val="005F1524"/>
    <w:rsid w:val="00600DEA"/>
    <w:rsid w:val="00604BA9"/>
    <w:rsid w:val="0061217D"/>
    <w:rsid w:val="00621DBD"/>
    <w:rsid w:val="00631AFB"/>
    <w:rsid w:val="00632123"/>
    <w:rsid w:val="006449B1"/>
    <w:rsid w:val="00645558"/>
    <w:rsid w:val="0064750E"/>
    <w:rsid w:val="00654E48"/>
    <w:rsid w:val="00661BE9"/>
    <w:rsid w:val="0066602C"/>
    <w:rsid w:val="00676A63"/>
    <w:rsid w:val="00676AFD"/>
    <w:rsid w:val="00695B12"/>
    <w:rsid w:val="006A61AB"/>
    <w:rsid w:val="006A66B7"/>
    <w:rsid w:val="006B3AE3"/>
    <w:rsid w:val="006D1765"/>
    <w:rsid w:val="006D4097"/>
    <w:rsid w:val="006E37FB"/>
    <w:rsid w:val="006F4BF3"/>
    <w:rsid w:val="00726FE2"/>
    <w:rsid w:val="00730D88"/>
    <w:rsid w:val="0073252E"/>
    <w:rsid w:val="00760975"/>
    <w:rsid w:val="00760B68"/>
    <w:rsid w:val="00764D89"/>
    <w:rsid w:val="00764FFD"/>
    <w:rsid w:val="00770DA1"/>
    <w:rsid w:val="0077295C"/>
    <w:rsid w:val="00783EAC"/>
    <w:rsid w:val="00793CFF"/>
    <w:rsid w:val="007A7D1F"/>
    <w:rsid w:val="007B651C"/>
    <w:rsid w:val="007E7222"/>
    <w:rsid w:val="007F7D85"/>
    <w:rsid w:val="00812027"/>
    <w:rsid w:val="00814461"/>
    <w:rsid w:val="00841E19"/>
    <w:rsid w:val="0085644A"/>
    <w:rsid w:val="00874B96"/>
    <w:rsid w:val="00893B3E"/>
    <w:rsid w:val="0089537F"/>
    <w:rsid w:val="008A25B4"/>
    <w:rsid w:val="008A2BE4"/>
    <w:rsid w:val="008A5984"/>
    <w:rsid w:val="008C4831"/>
    <w:rsid w:val="008C643F"/>
    <w:rsid w:val="008D282A"/>
    <w:rsid w:val="008D4101"/>
    <w:rsid w:val="008D52F4"/>
    <w:rsid w:val="008E194B"/>
    <w:rsid w:val="008F2ED3"/>
    <w:rsid w:val="008F7105"/>
    <w:rsid w:val="00900E00"/>
    <w:rsid w:val="00912DEE"/>
    <w:rsid w:val="00921FAE"/>
    <w:rsid w:val="00924A19"/>
    <w:rsid w:val="00936D26"/>
    <w:rsid w:val="00951997"/>
    <w:rsid w:val="009668D5"/>
    <w:rsid w:val="00992095"/>
    <w:rsid w:val="009A3EA9"/>
    <w:rsid w:val="009B2BDC"/>
    <w:rsid w:val="009B4248"/>
    <w:rsid w:val="009C4369"/>
    <w:rsid w:val="009D4E93"/>
    <w:rsid w:val="009E1692"/>
    <w:rsid w:val="009E26B5"/>
    <w:rsid w:val="009F06FC"/>
    <w:rsid w:val="00A26566"/>
    <w:rsid w:val="00A3136B"/>
    <w:rsid w:val="00A32F0D"/>
    <w:rsid w:val="00A40188"/>
    <w:rsid w:val="00A434C0"/>
    <w:rsid w:val="00A57BE2"/>
    <w:rsid w:val="00A664C3"/>
    <w:rsid w:val="00A72189"/>
    <w:rsid w:val="00A764C1"/>
    <w:rsid w:val="00A84546"/>
    <w:rsid w:val="00A95E7E"/>
    <w:rsid w:val="00AB01CB"/>
    <w:rsid w:val="00AC0877"/>
    <w:rsid w:val="00AD08FC"/>
    <w:rsid w:val="00AD2269"/>
    <w:rsid w:val="00AD4691"/>
    <w:rsid w:val="00AE4738"/>
    <w:rsid w:val="00AF57AB"/>
    <w:rsid w:val="00B0611D"/>
    <w:rsid w:val="00B4101B"/>
    <w:rsid w:val="00B41F23"/>
    <w:rsid w:val="00B576A3"/>
    <w:rsid w:val="00B7653F"/>
    <w:rsid w:val="00B82602"/>
    <w:rsid w:val="00B94A72"/>
    <w:rsid w:val="00BA44D6"/>
    <w:rsid w:val="00BE2967"/>
    <w:rsid w:val="00BE6118"/>
    <w:rsid w:val="00C047CA"/>
    <w:rsid w:val="00C06DBB"/>
    <w:rsid w:val="00C10A37"/>
    <w:rsid w:val="00C15E86"/>
    <w:rsid w:val="00C24CB8"/>
    <w:rsid w:val="00C300EB"/>
    <w:rsid w:val="00C37586"/>
    <w:rsid w:val="00C506C6"/>
    <w:rsid w:val="00C81EFE"/>
    <w:rsid w:val="00C82F7A"/>
    <w:rsid w:val="00C83DEB"/>
    <w:rsid w:val="00C9294F"/>
    <w:rsid w:val="00CA1768"/>
    <w:rsid w:val="00CA33B2"/>
    <w:rsid w:val="00CA33BE"/>
    <w:rsid w:val="00CB30AA"/>
    <w:rsid w:val="00CD3A51"/>
    <w:rsid w:val="00CE3E04"/>
    <w:rsid w:val="00CE6D37"/>
    <w:rsid w:val="00CF0BF7"/>
    <w:rsid w:val="00CF1268"/>
    <w:rsid w:val="00D0010A"/>
    <w:rsid w:val="00D02A75"/>
    <w:rsid w:val="00D11460"/>
    <w:rsid w:val="00D23D7B"/>
    <w:rsid w:val="00D27182"/>
    <w:rsid w:val="00D32C30"/>
    <w:rsid w:val="00D34D6A"/>
    <w:rsid w:val="00D3583D"/>
    <w:rsid w:val="00D50FCC"/>
    <w:rsid w:val="00D535A1"/>
    <w:rsid w:val="00D55AF4"/>
    <w:rsid w:val="00D55CF0"/>
    <w:rsid w:val="00D62D72"/>
    <w:rsid w:val="00D740A5"/>
    <w:rsid w:val="00D84091"/>
    <w:rsid w:val="00D911BA"/>
    <w:rsid w:val="00DB2BEA"/>
    <w:rsid w:val="00DB3407"/>
    <w:rsid w:val="00DC1C37"/>
    <w:rsid w:val="00DC51CE"/>
    <w:rsid w:val="00DE5093"/>
    <w:rsid w:val="00DF730D"/>
    <w:rsid w:val="00E02E4E"/>
    <w:rsid w:val="00E174E8"/>
    <w:rsid w:val="00E33194"/>
    <w:rsid w:val="00E343A3"/>
    <w:rsid w:val="00E42483"/>
    <w:rsid w:val="00E4282F"/>
    <w:rsid w:val="00E455DC"/>
    <w:rsid w:val="00E47DB7"/>
    <w:rsid w:val="00E57EE1"/>
    <w:rsid w:val="00E632E1"/>
    <w:rsid w:val="00E74F7A"/>
    <w:rsid w:val="00E941D1"/>
    <w:rsid w:val="00EA12D5"/>
    <w:rsid w:val="00EA1379"/>
    <w:rsid w:val="00EC4B1C"/>
    <w:rsid w:val="00EE1BA6"/>
    <w:rsid w:val="00EE1FE3"/>
    <w:rsid w:val="00EE3271"/>
    <w:rsid w:val="00EE4E9C"/>
    <w:rsid w:val="00EF57DA"/>
    <w:rsid w:val="00F15639"/>
    <w:rsid w:val="00F167E5"/>
    <w:rsid w:val="00F3119E"/>
    <w:rsid w:val="00F3294D"/>
    <w:rsid w:val="00F437DF"/>
    <w:rsid w:val="00F66EE6"/>
    <w:rsid w:val="00F70500"/>
    <w:rsid w:val="00F73F50"/>
    <w:rsid w:val="00F82A87"/>
    <w:rsid w:val="00F94265"/>
    <w:rsid w:val="00F96971"/>
    <w:rsid w:val="00FB0110"/>
    <w:rsid w:val="00FB56D2"/>
    <w:rsid w:val="00FB7940"/>
    <w:rsid w:val="00FC0403"/>
    <w:rsid w:val="00FD444E"/>
    <w:rsid w:val="00FD6C84"/>
    <w:rsid w:val="00FD7743"/>
    <w:rsid w:val="00FE0748"/>
    <w:rsid w:val="00FE4AE9"/>
    <w:rsid w:val="00FE4E19"/>
    <w:rsid w:val="00FE56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53C0"/>
  <w15:chartTrackingRefBased/>
  <w15:docId w15:val="{44D551B0-5475-403C-8CF1-DEE6DD0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B Nazanin"/>
        <w:sz w:val="22"/>
        <w:szCs w:val="24"/>
        <w:lang w:val="en-US" w:eastAsia="zh-CN" w:bidi="ar-SA"/>
      </w:rPr>
    </w:rPrDefault>
    <w:pPrDefault>
      <w:pPr>
        <w:bidi/>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11460"/>
    <w:pPr>
      <w:spacing w:after="200" w:line="240" w:lineRule="auto"/>
    </w:pPr>
    <w:rPr>
      <w:i/>
      <w:iCs/>
      <w:color w:val="44546A" w:themeColor="text2"/>
      <w:sz w:val="18"/>
      <w:szCs w:val="18"/>
    </w:rPr>
  </w:style>
  <w:style w:type="table" w:styleId="TableGrid">
    <w:name w:val="Table Grid"/>
    <w:basedOn w:val="TableNormal"/>
    <w:uiPriority w:val="39"/>
    <w:rsid w:val="004264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14</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ندا شعاعی</dc:creator>
  <cp:keywords/>
  <dc:description/>
  <cp:lastModifiedBy>ندا شعاعی</cp:lastModifiedBy>
  <cp:revision>200</cp:revision>
  <dcterms:created xsi:type="dcterms:W3CDTF">2022-08-22T12:30:00Z</dcterms:created>
  <dcterms:modified xsi:type="dcterms:W3CDTF">2022-08-22T17:40:00Z</dcterms:modified>
</cp:coreProperties>
</file>