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F509" w14:textId="77777777" w:rsidR="00D13EE7" w:rsidRDefault="00D13EE7" w:rsidP="00D13EE7">
      <w:pPr>
        <w:pStyle w:val="HeadingRef"/>
        <w:rPr>
          <w:rtl/>
        </w:rPr>
      </w:pPr>
      <w:bookmarkStart w:id="0" w:name="_Toc170546991"/>
      <w:bookmarkStart w:id="1" w:name="_Toc100859503"/>
      <w:r>
        <w:rPr>
          <w:rFonts w:hint="cs"/>
          <w:rtl/>
        </w:rPr>
        <w:t>فهرست مراجع</w:t>
      </w:r>
      <w:bookmarkEnd w:id="0"/>
      <w:bookmarkEnd w:id="1"/>
      <w:r>
        <w:rPr>
          <w:rFonts w:hint="cs"/>
          <w:rtl/>
        </w:rPr>
        <w:t xml:space="preserve"> </w:t>
      </w:r>
    </w:p>
    <w:sdt>
      <w:sdtPr>
        <w:tag w:val="MENDELEY_BIBLIOGRAPHY"/>
        <w:id w:val="379831746"/>
        <w:placeholder>
          <w:docPart w:val="9029A57A14224366B45392A93F1B7D0F"/>
        </w:placeholder>
      </w:sdtPr>
      <w:sdtEndPr>
        <w:rPr>
          <w:rtl/>
        </w:rPr>
      </w:sdtEndPr>
      <w:sdtContent>
        <w:p w14:paraId="4688498A" w14:textId="77777777" w:rsidR="00D13EE7" w:rsidRDefault="00D13EE7" w:rsidP="00D13EE7">
          <w:pPr>
            <w:autoSpaceDE w:val="0"/>
            <w:autoSpaceDN w:val="0"/>
            <w:bidi w:val="0"/>
            <w:ind w:hanging="640"/>
            <w:rPr>
              <w:szCs w:val="24"/>
            </w:rPr>
          </w:pPr>
          <w:r>
            <w:t>[1]</w:t>
          </w:r>
          <w:r>
            <w:tab/>
            <w:t xml:space="preserve">Amisha, P. Malik, M. Pathania, and V. Rathaur, “Overview of artificial intelligence in medicine,” </w:t>
          </w:r>
          <w:r>
            <w:rPr>
              <w:i/>
              <w:iCs/>
            </w:rPr>
            <w:t>Journal of Family Medicine and Primary Care</w:t>
          </w:r>
          <w:r>
            <w:t>, vol. 8, no. 7, p. 2328, 2019, doi: 10.4103/jfmpc.jfmpc_440_19.</w:t>
          </w:r>
        </w:p>
        <w:p w14:paraId="757A02DB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[2]</w:t>
          </w:r>
          <w:r>
            <w:tab/>
            <w:t xml:space="preserve">R. Mayeux, “Early Alzheimer’s Disease,” </w:t>
          </w:r>
          <w:r>
            <w:rPr>
              <w:i/>
              <w:iCs/>
            </w:rPr>
            <w:t>New England Journal of Medicine</w:t>
          </w:r>
          <w:r>
            <w:t>, vol. 362, no. 23, pp. 2194–2201, Jun. 2010, doi: 10.1056/NEJMcp0910236.</w:t>
          </w:r>
        </w:p>
        <w:p w14:paraId="64CC6F96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[3]</w:t>
          </w:r>
          <w:r>
            <w:tab/>
            <w:t>M. J. ’Prince, A. ’Wimo, and M. M. ’Guerchet, “World Alzheimer Report 2015 - The Global Impact of Dementia: An analysis of prevalence, incidence, cost and trends.”</w:t>
          </w:r>
        </w:p>
        <w:p w14:paraId="11E1BA37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[4]</w:t>
          </w:r>
          <w:r>
            <w:tab/>
            <w:t xml:space="preserve">G. M. McKhann </w:t>
          </w:r>
          <w:r>
            <w:rPr>
              <w:i/>
              <w:iCs/>
            </w:rPr>
            <w:t>et al.</w:t>
          </w:r>
          <w:r>
            <w:t xml:space="preserve">, “The diagnosis of dementia due to Alzheimer’s disease: Recommendations from the National Institute on Aging‐Alzheimer’s Association workgroups on diagnostic guidelines for Alzheimer’s disease,” </w:t>
          </w:r>
          <w:r>
            <w:rPr>
              <w:i/>
              <w:iCs/>
            </w:rPr>
            <w:t>Alzheimer’s &amp; Dementia</w:t>
          </w:r>
          <w:r>
            <w:t>, vol. 7, no. 3, pp. 263–269, May 2011, doi: 10.1016/j.jalz.2011.03.005.</w:t>
          </w:r>
        </w:p>
        <w:p w14:paraId="1BB198F7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[5]</w:t>
          </w:r>
          <w:r>
            <w:tab/>
            <w:t xml:space="preserve">R. J. Caselli and E. M. Reiman, “Characterizing the Preclinical Stages of Alzheimer’s Disease and the Prospect of Presymptomatic Intervention,” </w:t>
          </w:r>
          <w:r>
            <w:rPr>
              <w:i/>
              <w:iCs/>
            </w:rPr>
            <w:t>Journal of Alzheimer’s Disease</w:t>
          </w:r>
          <w:r>
            <w:t>, vol. 33, no. s1, pp. S405–S416, Dec. 2012, doi: 10.3233/JAD-2012-129026.</w:t>
          </w:r>
        </w:p>
        <w:p w14:paraId="0745EC10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[6]</w:t>
          </w:r>
          <w:r>
            <w:tab/>
            <w:t xml:space="preserve">“Medical Tests for Diagnosing Alzheimer’s,” </w:t>
          </w:r>
          <w:r>
            <w:rPr>
              <w:i/>
              <w:iCs/>
            </w:rPr>
            <w:t>https://www.alz.org/alzheimers-dementia/diagnosis/medical_tests</w:t>
          </w:r>
          <w:r>
            <w:t>.</w:t>
          </w:r>
        </w:p>
        <w:p w14:paraId="207DDB5C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[7]</w:t>
          </w:r>
          <w:r>
            <w:tab/>
            <w:t xml:space="preserve">F. Márquez and M. A. Yassa, “Neuroimaging Biomarkers for Alzheimer’s Disease,” </w:t>
          </w:r>
          <w:r>
            <w:rPr>
              <w:i/>
              <w:iCs/>
            </w:rPr>
            <w:t>Molecular Neurodegeneration</w:t>
          </w:r>
          <w:r>
            <w:t>, vol. 14, no. 1, p. 21, Dec. 2019, doi: 10.1186/s13024-019-0325-5.</w:t>
          </w:r>
        </w:p>
        <w:p w14:paraId="17551F15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[8]</w:t>
          </w:r>
          <w:r>
            <w:tab/>
            <w:t xml:space="preserve">S. Rathore, M. Habes, M. A. Iftikhar, A. Shacklett, and C. Davatzikos, “A review on neuroimaging-based classification studies and associated feature extraction methods for Alzheimer’s disease and its prodromal stages,” </w:t>
          </w:r>
          <w:r>
            <w:rPr>
              <w:i/>
              <w:iCs/>
            </w:rPr>
            <w:t>NeuroImage</w:t>
          </w:r>
          <w:r>
            <w:t>, vol. 155, pp. 530–548, Jul. 2017, doi: 10.1016/j.neuroimage.2017.03.057.</w:t>
          </w:r>
        </w:p>
        <w:p w14:paraId="3796271F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[9]</w:t>
          </w:r>
          <w:r>
            <w:tab/>
            <w:t xml:space="preserve">M. A. Ebrahimighahnavieh, S. Luo, and R. Chiong, “Deep learning to detect Alzheimer’s disease from neuroimaging: A systematic literature review,” </w:t>
          </w:r>
          <w:r>
            <w:rPr>
              <w:i/>
              <w:iCs/>
            </w:rPr>
            <w:t>Computer Methods and Programs in Biomedicine</w:t>
          </w:r>
          <w:r>
            <w:t>, vol. 187, p. 105242, Apr. 2020, doi: 10.1016/j.cmpb.2019.105242.</w:t>
          </w:r>
        </w:p>
        <w:p w14:paraId="16679679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[10]</w:t>
          </w:r>
          <w:r>
            <w:tab/>
            <w:t xml:space="preserve">P. Khan </w:t>
          </w:r>
          <w:r>
            <w:rPr>
              <w:i/>
              <w:iCs/>
            </w:rPr>
            <w:t>et al.</w:t>
          </w:r>
          <w:r>
            <w:t xml:space="preserve">, “Machine Learning and Deep Learning Approaches for Brain Disease Diagnosis: Principles and Recent Advances,” </w:t>
          </w:r>
          <w:r>
            <w:rPr>
              <w:i/>
              <w:iCs/>
            </w:rPr>
            <w:t>IEEE Access</w:t>
          </w:r>
          <w:r>
            <w:t>, vol. 9, pp. 37622–37655, 2021, doi: 10.1109/ACCESS.2021.3062484.</w:t>
          </w:r>
        </w:p>
        <w:p w14:paraId="1F045B01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[11]</w:t>
          </w:r>
          <w:r>
            <w:tab/>
            <w:t xml:space="preserve">N. Villain </w:t>
          </w:r>
          <w:r>
            <w:rPr>
              <w:i/>
              <w:iCs/>
            </w:rPr>
            <w:t>et al.</w:t>
          </w:r>
          <w:r>
            <w:t xml:space="preserve">, “Relationships between Hippocampal Atrophy, White Matter Disruption, and Gray Matter Hypometabolism in Alzheimer’s Disease,” </w:t>
          </w:r>
          <w:r>
            <w:rPr>
              <w:i/>
              <w:iCs/>
            </w:rPr>
            <w:t>Journal of Neuroscience</w:t>
          </w:r>
          <w:r>
            <w:t>, vol. 28, no. 24, pp. 6174–6181, Jun. 2008, doi: 10.1523/JNEUROSCI.1392-08.2008.</w:t>
          </w:r>
        </w:p>
        <w:p w14:paraId="0523EDF0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[12]</w:t>
          </w:r>
          <w:r>
            <w:tab/>
            <w:t xml:space="preserve">C. R. Jack </w:t>
          </w:r>
          <w:r>
            <w:rPr>
              <w:i/>
              <w:iCs/>
            </w:rPr>
            <w:t>et al.</w:t>
          </w:r>
          <w:r>
            <w:t xml:space="preserve">, “Rates of hippocampal atrophy correlate with change in clinical status in aging and AD,” </w:t>
          </w:r>
          <w:r>
            <w:rPr>
              <w:i/>
              <w:iCs/>
            </w:rPr>
            <w:t>Neurology</w:t>
          </w:r>
          <w:r>
            <w:t>, vol. 55, no. 4, pp. 484–490, Aug. 2000, doi: 10.1212/WNL.55.4.484.</w:t>
          </w:r>
        </w:p>
        <w:p w14:paraId="4E6BC8FC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lastRenderedPageBreak/>
            <w:t>[13]</w:t>
          </w:r>
          <w:r>
            <w:tab/>
            <w:t xml:space="preserve">B. Fischl and A. M. Dale, “Measuring the thickness of the human cerebral cortex from magnetic resonance images,” </w:t>
          </w:r>
          <w:r>
            <w:rPr>
              <w:i/>
              <w:iCs/>
            </w:rPr>
            <w:t>Proceedings of the National Academy of Sciences</w:t>
          </w:r>
          <w:r>
            <w:t>, vol. 97, no. 20, pp. 11050–11055, Sep. 2000, doi: 10.1073/pnas.200033797.</w:t>
          </w:r>
        </w:p>
        <w:p w14:paraId="180A3940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[14]</w:t>
          </w:r>
          <w:r>
            <w:tab/>
            <w:t xml:space="preserve">X. Zhu, H.-I. Suk, and D. Shen, “A novel matrix-similarity based loss function for joint regression and classification in AD diagnosis,” </w:t>
          </w:r>
          <w:r>
            <w:rPr>
              <w:i/>
              <w:iCs/>
            </w:rPr>
            <w:t>NeuroImage</w:t>
          </w:r>
          <w:r>
            <w:t>, vol. 100, pp. 91–105, Oct. 2014, doi: 10.1016/j.neuroimage.2014.05.078.</w:t>
          </w:r>
        </w:p>
        <w:p w14:paraId="5B430D96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[15]</w:t>
          </w:r>
          <w:r>
            <w:tab/>
            <w:t xml:space="preserve">T. Wang, R. G. Qiu, and M. Yu, “Predictive Modeling of the Progression of Alzheimer’s Disease with Recurrent Neural Networks,” </w:t>
          </w:r>
          <w:r>
            <w:rPr>
              <w:i/>
              <w:iCs/>
            </w:rPr>
            <w:t>Scientific Reports</w:t>
          </w:r>
          <w:r>
            <w:t>, vol. 8, no. 1, p. 9161, Dec. 2018, doi: 10.1038/s41598-018-27337-w.</w:t>
          </w:r>
        </w:p>
        <w:p w14:paraId="366D1C51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[16]</w:t>
          </w:r>
          <w:r>
            <w:tab/>
            <w:t xml:space="preserve">C. R. Jack </w:t>
          </w:r>
          <w:r>
            <w:rPr>
              <w:i/>
              <w:iCs/>
            </w:rPr>
            <w:t>et al.</w:t>
          </w:r>
          <w:r>
            <w:t xml:space="preserve">, “NIA‐AA Research Framework: Toward a biological definition of Alzheimer’s disease,” </w:t>
          </w:r>
          <w:r>
            <w:rPr>
              <w:i/>
              <w:iCs/>
            </w:rPr>
            <w:t>Alzheimer’s &amp; Dementia</w:t>
          </w:r>
          <w:r>
            <w:t>, vol. 14, no. 4, pp. 535–562, Apr. 2018, doi: 10.1016/j.jalz.2018.02.018.</w:t>
          </w:r>
        </w:p>
        <w:p w14:paraId="12E42DB0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[17]</w:t>
          </w:r>
          <w:r>
            <w:tab/>
            <w:t xml:space="preserve">C. Aguilar </w:t>
          </w:r>
          <w:r>
            <w:rPr>
              <w:i/>
              <w:iCs/>
            </w:rPr>
            <w:t>et al.</w:t>
          </w:r>
          <w:r>
            <w:t xml:space="preserve">, “Different multivariate techniques for automated classification of MRI data in Alzheimer’s disease and mild cognitive impairment,” </w:t>
          </w:r>
          <w:r>
            <w:rPr>
              <w:i/>
              <w:iCs/>
            </w:rPr>
            <w:t>Psychiatry Research: Neuroimaging</w:t>
          </w:r>
          <w:r>
            <w:t>, vol. 212, no. 2, pp. 89–98, May 2013, doi: 10.1016/j.pscychresns.2012.11.005.</w:t>
          </w:r>
        </w:p>
        <w:p w14:paraId="56B97FBE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[18]</w:t>
          </w:r>
          <w:r>
            <w:tab/>
            <w:t xml:space="preserve">H.-I. Suk, S.-W. Lee, and D. Shen, “Latent feature representation with stacked auto-encoder for AD/MCI diagnosis,” </w:t>
          </w:r>
          <w:r>
            <w:rPr>
              <w:i/>
              <w:iCs/>
            </w:rPr>
            <w:t>Brain Structure and Function</w:t>
          </w:r>
          <w:r>
            <w:t>, vol. 220, no. 2, pp. 841–859, Mar. 2015, doi: 10.1007/s00429-013-0687-3.</w:t>
          </w:r>
        </w:p>
        <w:p w14:paraId="25668ED1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[19]</w:t>
          </w:r>
          <w:r>
            <w:tab/>
            <w:t xml:space="preserve">M. Raju, V. P. Gopi, and A. v. S., “Multi-class Classification of Alzheimer’s Disease using 3DCNN Features and Multilayer Perceptron,” in </w:t>
          </w:r>
          <w:r>
            <w:rPr>
              <w:i/>
              <w:iCs/>
            </w:rPr>
            <w:t>2021 Sixth International Conference on Wireless Communications, Signal Processing and Networking (WiSPNET)</w:t>
          </w:r>
          <w:r>
            <w:t>, Mar. 2021, pp. 368–373. doi: 10.1109/WiSPNET51692.2021.9419393.</w:t>
          </w:r>
        </w:p>
        <w:p w14:paraId="6A81A5E4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[20]</w:t>
          </w:r>
          <w:r>
            <w:tab/>
            <w:t>S. Yang, X. Liu, Z. Zheng, W. Wang, and X. Ma, “Fusing Medical Image Features and Clinical Features with Deep Learning for Computer-Aided Diagnosis,” Mar. 2021.</w:t>
          </w:r>
        </w:p>
        <w:p w14:paraId="0AC5FDFD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[21]</w:t>
          </w:r>
          <w:r>
            <w:tab/>
            <w:t xml:space="preserve">S. El-Sappagh </w:t>
          </w:r>
          <w:r>
            <w:rPr>
              <w:i/>
              <w:iCs/>
            </w:rPr>
            <w:t>et al.</w:t>
          </w:r>
          <w:r>
            <w:t xml:space="preserve">, “Alzheimer’s disease progression detection model based on an early fusion of cost-effective multimodal data,” </w:t>
          </w:r>
          <w:r>
            <w:rPr>
              <w:i/>
              <w:iCs/>
            </w:rPr>
            <w:t>Future Generation Computer Systems</w:t>
          </w:r>
          <w:r>
            <w:t>, vol. 115, pp. 680–699, Feb. 2021, doi: 10.1016/j.future.2020.10.005.</w:t>
          </w:r>
        </w:p>
        <w:p w14:paraId="68AD8470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[22]</w:t>
          </w:r>
          <w:r>
            <w:tab/>
            <w:t xml:space="preserve">M. Liu, J. Zhang, E. Adeli, and D. Shen, “Landmark-based deep multi-instance learning for brain disease diagnosis,” </w:t>
          </w:r>
          <w:r>
            <w:rPr>
              <w:i/>
              <w:iCs/>
            </w:rPr>
            <w:t>Medical Image Analysis</w:t>
          </w:r>
          <w:r>
            <w:t>, vol. 43, pp. 157–168, Jan. 2018, doi: 10.1016/j.media.2017.10.005.</w:t>
          </w:r>
        </w:p>
        <w:p w14:paraId="63BE98FF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[23]</w:t>
          </w:r>
          <w:r>
            <w:tab/>
            <w:t xml:space="preserve">S. El-Sappagh, T. Abuhmed, S. M. Riazul Islam, and K. S. Kwak, “Multimodal multitask deep learning model for Alzheimer’s disease progression detection based on time series data,” </w:t>
          </w:r>
          <w:r>
            <w:rPr>
              <w:i/>
              <w:iCs/>
            </w:rPr>
            <w:t>Neurocomputing</w:t>
          </w:r>
          <w:r>
            <w:t>, vol. 412, pp. 197–215, Oct. 2020, doi: 10.1016/j.neucom.2020.05.087.</w:t>
          </w:r>
        </w:p>
        <w:p w14:paraId="22006673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[24]</w:t>
          </w:r>
          <w:r>
            <w:tab/>
            <w:t xml:space="preserve">I. Goodfellow </w:t>
          </w:r>
          <w:r>
            <w:rPr>
              <w:i/>
              <w:iCs/>
            </w:rPr>
            <w:t>et al.</w:t>
          </w:r>
          <w:r>
            <w:t xml:space="preserve">, “Generative adversarial networks,” </w:t>
          </w:r>
          <w:r>
            <w:rPr>
              <w:i/>
              <w:iCs/>
            </w:rPr>
            <w:t>Communications of the ACM</w:t>
          </w:r>
          <w:r>
            <w:t>, vol. 63, no. 11, pp. 139–144, Oct. 2020, doi: 10.1145/3422622.</w:t>
          </w:r>
        </w:p>
        <w:p w14:paraId="04670E44" w14:textId="77777777" w:rsidR="00D13EE7" w:rsidRDefault="00D13EE7" w:rsidP="00D13EE7">
          <w:pPr>
            <w:autoSpaceDE w:val="0"/>
            <w:autoSpaceDN w:val="0"/>
            <w:bidi w:val="0"/>
            <w:ind w:hanging="640"/>
          </w:pPr>
          <w:r>
            <w:t>[25]</w:t>
          </w:r>
          <w:r>
            <w:tab/>
            <w:t>X. Yi, E. Walia, and P. Babyn, “Generative Adversarial Network in Medical Imaging: A Review,” Sep. 2018, doi: 10.1016/j.media.2019.101552.</w:t>
          </w:r>
        </w:p>
        <w:p w14:paraId="475510A9" w14:textId="59A92842" w:rsidR="00D13EE7" w:rsidRDefault="00D13EE7" w:rsidP="00D13EE7"/>
      </w:sdtContent>
    </w:sdt>
    <w:p w14:paraId="256CF119" w14:textId="77777777" w:rsidR="003574CD" w:rsidRDefault="003574CD"/>
    <w:sectPr w:rsidR="003574CD" w:rsidSect="004A3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NrO0MDQ2NDcxMzZQ0lEKTi0uzszPAykwrAUAz+/SKywAAAA="/>
  </w:docVars>
  <w:rsids>
    <w:rsidRoot w:val="00D13EE7"/>
    <w:rsid w:val="001E7B90"/>
    <w:rsid w:val="003574CD"/>
    <w:rsid w:val="003D7AF8"/>
    <w:rsid w:val="00431CA6"/>
    <w:rsid w:val="004A3D39"/>
    <w:rsid w:val="0062362C"/>
    <w:rsid w:val="00721366"/>
    <w:rsid w:val="008F6B7C"/>
    <w:rsid w:val="00D13EE7"/>
    <w:rsid w:val="00D17339"/>
    <w:rsid w:val="00D6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7214"/>
  <w15:chartTrackingRefBased/>
  <w15:docId w15:val="{06EB8E2C-366A-43C9-938C-2293084A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E7"/>
    <w:pPr>
      <w:bidi/>
      <w:spacing w:after="0" w:line="288" w:lineRule="auto"/>
      <w:ind w:firstLine="432"/>
      <w:jc w:val="both"/>
    </w:pPr>
    <w:rPr>
      <w:rFonts w:asciiTheme="majorBidi" w:eastAsia="Times New Roman" w:hAnsiTheme="majorBidi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E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ef">
    <w:name w:val="Heading_Ref"/>
    <w:basedOn w:val="Heading1"/>
    <w:rsid w:val="00D13EE7"/>
    <w:pPr>
      <w:keepLines w:val="0"/>
      <w:pageBreakBefore/>
      <w:spacing w:after="240"/>
      <w:ind w:firstLine="0"/>
      <w:jc w:val="left"/>
    </w:pPr>
    <w:rPr>
      <w:rFonts w:asciiTheme="majorBidi" w:eastAsia="Times New Roman" w:hAnsiTheme="majorBidi" w:cs="B Titr"/>
      <w:b/>
      <w:bCs/>
      <w:color w:val="auto"/>
      <w:kern w:val="32"/>
      <w:sz w:val="36"/>
      <w:szCs w:val="36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D13E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29A57A14224366B45392A93F1B7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BC9D-7041-4780-B65C-1EE84701DB6E}"/>
      </w:docPartPr>
      <w:docPartBody>
        <w:p w:rsidR="00000000" w:rsidRDefault="00064250" w:rsidP="00064250">
          <w:pPr>
            <w:pStyle w:val="9029A57A14224366B45392A93F1B7D0F"/>
          </w:pPr>
          <w:r w:rsidRPr="004675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0"/>
    <w:rsid w:val="00064250"/>
    <w:rsid w:val="00E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250"/>
    <w:rPr>
      <w:color w:val="808080"/>
    </w:rPr>
  </w:style>
  <w:style w:type="paragraph" w:customStyle="1" w:styleId="9029A57A14224366B45392A93F1B7D0F">
    <w:name w:val="9029A57A14224366B45392A93F1B7D0F"/>
    <w:rsid w:val="00064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Hoseini</dc:creator>
  <cp:keywords/>
  <dc:description/>
  <cp:lastModifiedBy>Maryam Hoseini</cp:lastModifiedBy>
  <cp:revision>1</cp:revision>
  <dcterms:created xsi:type="dcterms:W3CDTF">2022-09-13T10:03:00Z</dcterms:created>
  <dcterms:modified xsi:type="dcterms:W3CDTF">2022-09-13T10:04:00Z</dcterms:modified>
</cp:coreProperties>
</file>