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8C" w:rsidRDefault="00000B17" w:rsidP="00000B17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او توضیح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دهد که جداسازی کدهای فرهنگی از طریق روش انکارگرایی که رویکردی جامعه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‌شناسانه دارد، نشان داده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شود.</w:t>
      </w:r>
    </w:p>
    <w:p w:rsidR="00000B17" w:rsidRDefault="00000B17" w:rsidP="00000B17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استراتژی او و بقیه استفاده از روش تحلیل کدهای دوتایی و هم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>چنین کاربرد آن در نمادها و سنت ها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در سطح وسیع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386B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تر جامعه 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نیست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.</w:t>
      </w:r>
    </w:p>
    <w:p w:rsidR="00510421" w:rsidRDefault="00000B17" w:rsidP="003D7A6D">
      <w:pPr>
        <w:bidi/>
        <w:rPr>
          <w:rFonts w:ascii="Arial" w:hAnsi="Arial" w:cs="Arial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این رویکرد از نظر اولویت قرار دادن پیوندهای اخلاقی اهمیت دارد. این پی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وندها خود بسته به میزان همگرایی</w:t>
      </w:r>
      <w:r w:rsidR="00912B89">
        <w:rPr>
          <w:rFonts w:ascii="Arial" w:hAnsi="Arial" w:cs="Arial" w:hint="cs"/>
          <w:color w:val="7030A0"/>
          <w:sz w:val="44"/>
          <w:szCs w:val="44"/>
          <w:rtl/>
          <w:lang w:bidi="fa-IR"/>
        </w:rPr>
        <w:t>،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اجرایی شدن 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و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قدرتشان منجر به همبستگی یا گسستگی اجتماعی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شوند</w:t>
      </w:r>
      <w:r w:rsidR="003D7A6D">
        <w:rPr>
          <w:rFonts w:ascii="Arial" w:hAnsi="Arial" w:cs="Arial"/>
          <w:color w:val="7030A0"/>
          <w:sz w:val="44"/>
          <w:szCs w:val="44"/>
          <w:lang w:bidi="fa-IR"/>
        </w:rPr>
        <w:t>;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زیرا در درون نهادها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،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گروه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ها و جنبه های اجتماعی قرار دارند و همه از آن پیروی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510421">
        <w:rPr>
          <w:rFonts w:ascii="Arial" w:hAnsi="Arial" w:cs="Arial" w:hint="cs"/>
          <w:color w:val="7030A0"/>
          <w:sz w:val="44"/>
          <w:szCs w:val="44"/>
          <w:rtl/>
          <w:lang w:bidi="fa-IR"/>
        </w:rPr>
        <w:t>کنند.</w:t>
      </w:r>
    </w:p>
    <w:p w:rsidR="00000B17" w:rsidRDefault="003D7A6D" w:rsidP="00510421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این رویکرد مفهوم اجتماعی-</w:t>
      </w:r>
      <w:r w:rsidR="00000B17">
        <w:rPr>
          <w:rFonts w:ascii="Arial" w:hAnsi="Arial" w:cs="Arial" w:hint="cs"/>
          <w:color w:val="7030A0"/>
          <w:sz w:val="44"/>
          <w:szCs w:val="44"/>
          <w:rtl/>
          <w:lang w:bidi="fa-IR"/>
        </w:rPr>
        <w:t>اخلاقی را به عنوان مبنای جامعه به کار می</w:t>
      </w:r>
      <w:r w:rsidR="00000B17"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000B17">
        <w:rPr>
          <w:rFonts w:ascii="Arial" w:hAnsi="Arial" w:cs="Arial" w:hint="cs"/>
          <w:color w:val="7030A0"/>
          <w:sz w:val="44"/>
          <w:szCs w:val="44"/>
          <w:rtl/>
          <w:lang w:bidi="fa-IR"/>
        </w:rPr>
        <w:t>برد،</w:t>
      </w:r>
      <w:r w:rsidR="00510421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به همان صورت که بر نی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روهای اخلاقی-اساسی با نام عناصر</w:t>
      </w:r>
      <w:r w:rsidR="00510421">
        <w:rPr>
          <w:rFonts w:ascii="Arial" w:hAnsi="Arial" w:cs="Arial" w:hint="cs"/>
          <w:color w:val="7030A0"/>
          <w:sz w:val="44"/>
          <w:szCs w:val="44"/>
          <w:rtl/>
          <w:lang w:bidi="fa-IR"/>
        </w:rPr>
        <w:t>غیرقراردادی تاکید می</w:t>
      </w:r>
      <w:r w:rsidR="00510421"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510421">
        <w:rPr>
          <w:rFonts w:ascii="Arial" w:hAnsi="Arial" w:cs="Arial" w:hint="cs"/>
          <w:color w:val="7030A0"/>
          <w:sz w:val="44"/>
          <w:szCs w:val="44"/>
          <w:rtl/>
          <w:lang w:bidi="fa-IR"/>
        </w:rPr>
        <w:t>کند.</w:t>
      </w:r>
    </w:p>
    <w:p w:rsidR="00510421" w:rsidRDefault="00510421" w:rsidP="00510421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به طور کلی رویکرد جامعه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شناسی فرهنگی در عصر رسانه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ها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تواند نقش مهمی در جامعه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شناسی سیاسی ایفا کند.</w:t>
      </w:r>
    </w:p>
    <w:p w:rsidR="00510421" w:rsidRDefault="00510421" w:rsidP="00510421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فیزیولوژیست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هایی که در زمینه روان فعالیت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کنند به مطالعه احساسات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پردازند، 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که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در موضع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گیری پیرامون آن به دو یا سه دسته تقسیم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شوند. این تقسیم بندی تاثیراتی را روی دیدگاه جامعه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شناسان به جا گذاشته است.</w:t>
      </w:r>
    </w:p>
    <w:p w:rsidR="00510421" w:rsidRDefault="00510421" w:rsidP="005F2533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عده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ای از آن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>ان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معتقدند که فرایندهای فیزیولوژیک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،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ایجاد کننده احساسات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کاملا مشابه هستند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و تمایز احساس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ات از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یکدیگر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ناشی از برچسب های شناختی و چارچوب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های اجتماعی است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>.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این 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تعبیر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lastRenderedPageBreak/>
        <w:t>از احساسات، گویا بیشتر از همه خوشایند طرفداران ساختمندی اجتماعی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باشد</w:t>
      </w:r>
      <w:r w:rsidR="003D7A6D">
        <w:rPr>
          <w:rFonts w:ascii="Arial" w:hAnsi="Arial" w:cs="Arial"/>
          <w:color w:val="7030A0"/>
          <w:sz w:val="44"/>
          <w:szCs w:val="44"/>
          <w:lang w:bidi="fa-IR"/>
        </w:rPr>
        <w:t>;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چرا که آ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نان 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>با پذیرش این دیدگاه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،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انعطاف پذیری نسبتا بالای</w:t>
      </w:r>
      <w:r w:rsidR="005F253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احساسات را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با عوامل شناختی و اجتماعی توضیح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دهند.</w:t>
      </w:r>
    </w:p>
    <w:p w:rsidR="00510421" w:rsidRDefault="00510421" w:rsidP="001015C9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همانطور که اشاره گردید</w:t>
      </w:r>
      <w:r w:rsidR="001015C9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همچنان فرضیه افلاطون بیشترین اهمیت را در تحلیل ساختار درونی دولت دارد</w:t>
      </w:r>
      <w:r w:rsidR="001015C9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. ایده اصلی این نظریه 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>مبنی بر ساختار کارآمد دولت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>است،</w:t>
      </w:r>
      <w:r w:rsidR="001015C9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که 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مورد ح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>مایت تحلیل</w:t>
      </w:r>
      <w:r w:rsidR="000824FE"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>گران معاصر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نیز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می</w:t>
      </w:r>
      <w:r w:rsidR="000824FE"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>با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>شد و از این جهت با هم مرتبط هستند.</w:t>
      </w:r>
    </w:p>
    <w:p w:rsidR="000824FE" w:rsidRDefault="000824FE" w:rsidP="00F916C0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افلاطون عنوان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کند که استقلال یکی از شرایط لازم در کنار </w:t>
      </w:r>
      <w:r w:rsidR="00F916C0" w:rsidRP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دیگر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موارد 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است و ایشان نیز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همانند بانک جهانی</w:t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،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دیوان سالاری دولتی را،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ن</w:t>
      </w:r>
      <w:r w:rsidRP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>ق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>ی بسیار مهم در تحول صنعت می داند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.</w:t>
      </w:r>
    </w:p>
    <w:p w:rsidR="000824FE" w:rsidRDefault="000824FE" w:rsidP="001015C9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آن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ها با بیان مثال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هایی از دولت های تایوان و کره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3D7A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ج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نوبی نقش دولتی توسعه دهنده را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در تحولات صنعتی اخیر مهم ترین عامل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دانند.</w:t>
      </w:r>
    </w:p>
    <w:p w:rsidR="000824FE" w:rsidRDefault="00386B6D" w:rsidP="00386B6D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وی اولویت اصلی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را کار می</w:t>
      </w:r>
      <w:r w:rsidR="000824FE"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داند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و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مبنا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ی فرضیه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ی خود 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>را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همان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 w:rsidR="00F916C0">
        <w:rPr>
          <w:rFonts w:ascii="Arial" w:hAnsi="Arial" w:cs="Arial" w:hint="cs"/>
          <w:color w:val="7030A0"/>
          <w:sz w:val="44"/>
          <w:szCs w:val="44"/>
          <w:rtl/>
          <w:lang w:bidi="fa-IR"/>
        </w:rPr>
        <w:t>تمایز اولیه میان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همبستگی مکانیکی و </w:t>
      </w:r>
      <w:r w:rsidR="000824FE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ارگانیک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قرار می دهد،</w:t>
      </w:r>
      <w:r w:rsidRPr="00386B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که برخلاف مطالعه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ی کارهای اخیرش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است.</w:t>
      </w:r>
    </w:p>
    <w:p w:rsidR="000824FE" w:rsidRDefault="000824FE" w:rsidP="000824FE">
      <w:pPr>
        <w:bidi/>
        <w:rPr>
          <w:rFonts w:ascii="Arial" w:hAnsi="Arial" w:cs="Arial" w:hint="cs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در عین حال تنها با توجه به نظریه سیاسی</w:t>
      </w:r>
      <w:r w:rsidR="001015C9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،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پیوستگی کارهای ابتدایی و انتهایی روشن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شود.</w:t>
      </w:r>
    </w:p>
    <w:p w:rsidR="000824FE" w:rsidRPr="00000B17" w:rsidRDefault="000824FE" w:rsidP="00386B6D">
      <w:pPr>
        <w:bidi/>
        <w:rPr>
          <w:rFonts w:ascii="Arial" w:hAnsi="Arial" w:cs="Arial"/>
          <w:color w:val="7030A0"/>
          <w:sz w:val="44"/>
          <w:szCs w:val="44"/>
          <w:rtl/>
          <w:lang w:bidi="fa-IR"/>
        </w:rPr>
      </w:pP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او پیوسته یادآوری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کند که در برداشت نادرست از دموکراسی، دولت حذف یا ضعیف نشان داده می</w:t>
      </w:r>
      <w:r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386B6D">
        <w:rPr>
          <w:rFonts w:ascii="Arial" w:hAnsi="Arial" w:cs="Arial" w:hint="cs"/>
          <w:color w:val="7030A0"/>
          <w:sz w:val="44"/>
          <w:szCs w:val="44"/>
          <w:rtl/>
          <w:lang w:bidi="fa-IR"/>
        </w:rPr>
        <w:t>شود،</w:t>
      </w:r>
      <w:bookmarkStart w:id="0" w:name="_GoBack"/>
      <w:bookmarkEnd w:id="0"/>
      <w:r w:rsidR="00386B6D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و </w:t>
      </w:r>
      <w:r>
        <w:rPr>
          <w:rFonts w:ascii="Arial" w:hAnsi="Arial" w:cs="Arial" w:hint="cs"/>
          <w:color w:val="7030A0"/>
          <w:sz w:val="44"/>
          <w:szCs w:val="44"/>
          <w:rtl/>
          <w:lang w:bidi="fa-IR"/>
        </w:rPr>
        <w:t>فرض</w:t>
      </w:r>
      <w:r w:rsidR="003D2FA3">
        <w:rPr>
          <w:rFonts w:ascii="Arial" w:hAnsi="Arial" w:cs="Arial" w:hint="cs"/>
          <w:color w:val="7030A0"/>
          <w:sz w:val="44"/>
          <w:szCs w:val="44"/>
          <w:rtl/>
          <w:lang w:bidi="fa-IR"/>
        </w:rPr>
        <w:t xml:space="preserve"> بر یکسان بودن تفکر دولت و مردم می</w:t>
      </w:r>
      <w:r w:rsidR="003D2FA3">
        <w:rPr>
          <w:rFonts w:ascii="Arial" w:hAnsi="Arial" w:cs="Arial"/>
          <w:color w:val="7030A0"/>
          <w:sz w:val="44"/>
          <w:szCs w:val="44"/>
          <w:rtl/>
          <w:lang w:bidi="fa-IR"/>
        </w:rPr>
        <w:softHyphen/>
      </w:r>
      <w:r w:rsidR="003D2FA3">
        <w:rPr>
          <w:rFonts w:ascii="Arial" w:hAnsi="Arial" w:cs="Arial" w:hint="cs"/>
          <w:color w:val="7030A0"/>
          <w:sz w:val="44"/>
          <w:szCs w:val="44"/>
          <w:rtl/>
          <w:lang w:bidi="fa-IR"/>
        </w:rPr>
        <w:t>باشد و این هم مخالف دموکراسی است.</w:t>
      </w:r>
    </w:p>
    <w:sectPr w:rsidR="000824FE" w:rsidRPr="00000B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17"/>
    <w:rsid w:val="00000B17"/>
    <w:rsid w:val="000824FE"/>
    <w:rsid w:val="001015C9"/>
    <w:rsid w:val="00386B6D"/>
    <w:rsid w:val="003D2FA3"/>
    <w:rsid w:val="003D7A6D"/>
    <w:rsid w:val="00510421"/>
    <w:rsid w:val="00515C8C"/>
    <w:rsid w:val="005F2533"/>
    <w:rsid w:val="00912B89"/>
    <w:rsid w:val="00F9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52EF"/>
  <w15:chartTrackingRefBased/>
  <w15:docId w15:val="{C0E96805-E608-4B63-9A90-48C44EFE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Sadeq</dc:creator>
  <cp:keywords/>
  <dc:description/>
  <cp:lastModifiedBy>Sadeq</cp:lastModifiedBy>
  <cp:revision>2</cp:revision>
  <dcterms:created xsi:type="dcterms:W3CDTF">2006-12-31T22:03:00Z</dcterms:created>
  <dcterms:modified xsi:type="dcterms:W3CDTF">2006-12-31T22:03:00Z</dcterms:modified>
</cp:coreProperties>
</file>