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0" w:right="0" w:firstLine="0"/>
        <w:jc w:val="left"/>
        <w:rPr>
          <w:rFonts w:ascii="Mitr" w:cs="Mitr" w:eastAsia="Mitr" w:hAnsi="Mit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9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096"/>
        <w:gridCol w:w="1252"/>
        <w:gridCol w:w="2042"/>
        <w:tblGridChange w:id="0">
          <w:tblGrid>
            <w:gridCol w:w="3510"/>
            <w:gridCol w:w="3096"/>
            <w:gridCol w:w="1252"/>
            <w:gridCol w:w="20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bidi w:val="1"/>
              <w:ind w:left="0" w:firstLine="0"/>
              <w:jc w:val="center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۲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ind w:left="0" w:firstLine="0"/>
              <w:jc w:val="left"/>
              <w:rPr>
                <w:rFonts w:ascii="Mitr" w:cs="Mitr" w:eastAsia="Mitr" w:hAnsi="Mit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b w:val="1"/>
                <w:sz w:val="24"/>
                <w:szCs w:val="24"/>
                <w:rtl w:val="1"/>
              </w:rPr>
              <w:t xml:space="preserve">بازی</w:t>
            </w:r>
          </w:p>
        </w:tc>
        <w:tc>
          <w:tcPr/>
          <w:p w:rsidR="00000000" w:rsidDel="00000000" w:rsidP="00000000" w:rsidRDefault="00000000" w:rsidRPr="00000000" w14:paraId="00000005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b w:val="1"/>
                <w:sz w:val="28"/>
                <w:szCs w:val="28"/>
                <w:rtl w:val="1"/>
              </w:rPr>
              <w:t xml:space="preserve">توضیح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هماهنگی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چشم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  <w:p w:rsidR="00000000" w:rsidDel="00000000" w:rsidP="00000000" w:rsidRDefault="00000000" w:rsidRPr="00000000" w14:paraId="00000007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ظریف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_۷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  <w:p w:rsidR="00000000" w:rsidDel="00000000" w:rsidP="00000000" w:rsidRDefault="00000000" w:rsidRPr="00000000" w14:paraId="00000008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مسئله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_۷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بالاترین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امتیازات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ایراني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صنایع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۲۳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ھای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فكری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پازل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جورچین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گیرد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0E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معرفی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اجمالی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0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ایراني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صنایع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۲۳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مثلث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مستطیل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دایره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رنگ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متفاوت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ایجاد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تکی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دوتایی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چهارتایی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تعداد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متناسب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دهد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سعی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داخل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دهد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بازی</w:t>
            </w:r>
          </w:p>
          <w:bookmarkStart w:colFirst="0" w:colLast="0" w:name="30j0zll" w:id="0"/>
          <w:bookmarkEnd w:id="0"/>
          <w:bookmarkStart w:colFirst="0" w:colLast="0" w:name="gjdgxs" w:id="1"/>
          <w:bookmarkEnd w:id="1"/>
          <w:p w:rsidR="00000000" w:rsidDel="00000000" w:rsidP="00000000" w:rsidRDefault="00000000" w:rsidRPr="00000000" w14:paraId="00000015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اطلاعات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انجام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صورت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لزوم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)-</w:t>
            </w:r>
          </w:p>
          <w:p w:rsidR="00000000" w:rsidDel="00000000" w:rsidP="00000000" w:rsidRDefault="00000000" w:rsidRPr="00000000" w14:paraId="00000017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شیوه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امکان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8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دیدگاه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ارزیاب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ind w:left="0" w:firstLine="0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: 1-2-3-4)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C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رتبه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درینو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امتیازاتی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آید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معادل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گیری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ارزیابی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bidi w:val="1"/>
              <w:ind w:left="720" w:firstLine="0"/>
              <w:jc w:val="center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ind w:left="720" w:firstLine="0"/>
              <w:jc w:val="center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ff0000"/>
                <w:sz w:val="24"/>
                <w:szCs w:val="24"/>
                <w:rtl w:val="1"/>
              </w:rPr>
              <w:t xml:space="preserve">منفی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هدف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امتیاز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تصویر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نگاره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–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پیکتو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گرام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تصویری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امتیاز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تخصصی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نکته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تخصصی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پیرامون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5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ایراني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شركت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صنایع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۲۳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راهنما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۲۱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کدام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تعدادی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متناسب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رنگ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متنوع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جذاب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7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هنگام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گذاری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توجه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تعداد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تعداد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جایگذاری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ادامه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مشابه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یکدیگر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دهد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فرآیند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باعث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مهارت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ظریف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هماهنگی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چشم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علاوه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مسئله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پیدا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باعث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آشنایی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اشکال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رنگ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توان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ابزاری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گیری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مفهوم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تکرار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علاوه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اینکه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ذهن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انتقادی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قدرت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مسئله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باعث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ارتقای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خودباوری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اعتماد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نفس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29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سنی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مجموعه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۵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جهت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فکری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بودن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گروه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دختر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پسر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A">
            <w:pPr>
              <w:bidi w:val="1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کامل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اساس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ذکرشده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همچنین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اهداف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F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صنایع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آموزشی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ھاي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فكري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علمی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پازل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جورچین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گیرد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وزن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۶۷۴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گرم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بسته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بندي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جنس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اسباب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شمارش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۲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پلاستیک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چوب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مرغوب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اجسام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جداشونده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گوشه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ھاي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برنده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امكان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صدمه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دیگران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نیز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وجودندارد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اما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احتمال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صدمه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ممکن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برابر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ضربه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مقاوم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ھستند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فنی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تحلیل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ویژگی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ظاهری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ساختاری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ذکرشده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عزیز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دلم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قطعه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هندسی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چیه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حفره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7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کدوم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میله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صفحه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بگیره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8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چند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داریم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9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شکل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مربع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هامون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رنگیه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3A">
            <w:pPr>
              <w:bidi w:val="1"/>
              <w:ind w:left="0" w:firstLine="0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کودکان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خود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صحبت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کنیم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.</w:t>
              <w:br w:type="textWrapping"/>
              <w:t xml:space="preserve">(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مخاطب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زیر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8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سال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ادبیان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گفتگو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والدین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محاوره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باشد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آموزش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گفتگو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فعال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مؤثر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فرزندان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پیرامون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کاربردی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سازی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)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آنجایی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اهمیت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بیشتر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میابد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توانمندی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خانواده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مورد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بسیار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کم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قطعا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ً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نیاز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همراه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مشاور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ها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آثار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تربیتی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دارند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  <w:br w:type="textWrapping"/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E">
            <w:pPr>
              <w:bidi w:val="1"/>
              <w:ind w:left="0" w:firstLine="0"/>
              <w:jc w:val="both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بازی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های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فکری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روزانه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۳۰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۶۰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دقیقه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اختیار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کودک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تان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دهید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highlight w:val="red"/>
                <w:rtl w:val="1"/>
              </w:rPr>
              <w:t xml:space="preserve">هشدار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هشدارهایی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در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استفاده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توسط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ارزیاب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آمده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Mitr" w:cs="Mitr" w:eastAsia="Mitr" w:hAnsi="Mitr"/>
                <w:sz w:val="24"/>
                <w:szCs w:val="24"/>
                <w:rtl w:val="1"/>
              </w:rPr>
              <w:t xml:space="preserve">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ind w:left="0" w:firstLine="0"/>
              <w:jc w:val="left"/>
              <w:rPr>
                <w:rFonts w:ascii="Mitr" w:cs="Mitr" w:eastAsia="Mitr" w:hAnsi="Mitr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جزئیات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ساختار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</w:p>
        </w:tc>
        <w:tc>
          <w:tcPr/>
          <w:bookmarkStart w:colFirst="0" w:colLast="0" w:name="2et92p0" w:id="3"/>
          <w:bookmarkEnd w:id="3"/>
          <w:bookmarkStart w:colFirst="0" w:colLast="0" w:name="3znysh7" w:id="4"/>
          <w:bookmarkEnd w:id="4"/>
          <w:p w:rsidR="00000000" w:rsidDel="00000000" w:rsidP="00000000" w:rsidRDefault="00000000" w:rsidRPr="00000000" w14:paraId="00000045">
            <w:pPr>
              <w:bidi w:val="1"/>
              <w:ind w:left="0" w:firstLine="0"/>
              <w:jc w:val="left"/>
              <w:rPr>
                <w:rFonts w:ascii="Mitr" w:cs="Mitr" w:eastAsia="Mitr" w:hAnsi="Mitr"/>
                <w:sz w:val="24"/>
                <w:szCs w:val="24"/>
              </w:rPr>
            </w:pP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شناسنامه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Mitr" w:cs="Mitr" w:eastAsia="Mitr" w:hAnsi="Mitr"/>
                <w:color w:val="0070c0"/>
                <w:sz w:val="24"/>
                <w:szCs w:val="24"/>
                <w:rtl w:val="1"/>
              </w:rPr>
              <w:t xml:space="preserve">محصول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ind w:left="0" w:firstLine="0"/>
        <w:rPr>
          <w:rFonts w:ascii="Mitr" w:cs="Mitr" w:eastAsia="Mitr" w:hAnsi="Mit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t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